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9CED4" w14:textId="3AC4B04F" w:rsidR="0084220F" w:rsidRDefault="0084220F" w:rsidP="0084220F">
      <w:pPr>
        <w:pStyle w:val="Heading1"/>
      </w:pPr>
      <w:r>
        <w:t xml:space="preserve">Harm Identification Table </w:t>
      </w:r>
      <w:r w:rsidR="00AC2512">
        <w:t>– Level of Harm</w:t>
      </w:r>
    </w:p>
    <w:p w14:paraId="5A0053E3" w14:textId="77777777" w:rsidR="0084220F" w:rsidRDefault="0084220F" w:rsidP="0084220F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122"/>
        <w:gridCol w:w="2639"/>
        <w:gridCol w:w="2126"/>
        <w:gridCol w:w="2977"/>
        <w:gridCol w:w="5866"/>
      </w:tblGrid>
      <w:tr w:rsidR="008159C6" w14:paraId="5D9DE1F2" w14:textId="77777777" w:rsidTr="0052309B">
        <w:trPr>
          <w:tblHeader/>
        </w:trPr>
        <w:tc>
          <w:tcPr>
            <w:tcW w:w="2122" w:type="dxa"/>
          </w:tcPr>
          <w:p w14:paraId="43D4FBEE" w14:textId="77777777" w:rsidR="001016AB" w:rsidRPr="00674BE7" w:rsidRDefault="001016AB" w:rsidP="005D3C74">
            <w:pPr>
              <w:spacing w:before="120" w:after="120"/>
            </w:pPr>
            <w:r w:rsidRPr="00674BE7">
              <w:rPr>
                <w:b/>
              </w:rPr>
              <w:t xml:space="preserve">Risk of Harm </w:t>
            </w:r>
          </w:p>
        </w:tc>
        <w:tc>
          <w:tcPr>
            <w:tcW w:w="2639" w:type="dxa"/>
            <w:shd w:val="clear" w:color="auto" w:fill="92D050"/>
          </w:tcPr>
          <w:p w14:paraId="5CD1C2A9" w14:textId="77777777" w:rsidR="001016AB" w:rsidRPr="00674BE7" w:rsidRDefault="001016AB" w:rsidP="005D3C74">
            <w:pPr>
              <w:spacing w:before="120" w:after="120"/>
              <w:rPr>
                <w:b/>
              </w:rPr>
            </w:pPr>
            <w:r w:rsidRPr="00674BE7">
              <w:t xml:space="preserve">Low/Negligible </w:t>
            </w:r>
          </w:p>
        </w:tc>
        <w:tc>
          <w:tcPr>
            <w:tcW w:w="2126" w:type="dxa"/>
            <w:shd w:val="clear" w:color="auto" w:fill="FFFF00"/>
          </w:tcPr>
          <w:p w14:paraId="7625A821" w14:textId="77777777" w:rsidR="001016AB" w:rsidRPr="00674BE7" w:rsidRDefault="001016AB" w:rsidP="005D3C74">
            <w:pPr>
              <w:spacing w:before="120" w:after="120"/>
            </w:pPr>
            <w:r>
              <w:t xml:space="preserve">Medium </w:t>
            </w:r>
          </w:p>
        </w:tc>
        <w:tc>
          <w:tcPr>
            <w:tcW w:w="2977" w:type="dxa"/>
            <w:shd w:val="clear" w:color="auto" w:fill="FFC000"/>
          </w:tcPr>
          <w:p w14:paraId="1DAFF8EB" w14:textId="77777777" w:rsidR="001016AB" w:rsidRPr="00674BE7" w:rsidRDefault="00623F19" w:rsidP="005D3C74">
            <w:pPr>
              <w:spacing w:before="120" w:after="120"/>
              <w:rPr>
                <w:b/>
              </w:rPr>
            </w:pPr>
            <w:r>
              <w:t>H</w:t>
            </w:r>
            <w:r w:rsidR="001016AB">
              <w:t xml:space="preserve">igh </w:t>
            </w:r>
          </w:p>
        </w:tc>
        <w:tc>
          <w:tcPr>
            <w:tcW w:w="5866" w:type="dxa"/>
            <w:shd w:val="clear" w:color="auto" w:fill="FF0000"/>
          </w:tcPr>
          <w:p w14:paraId="02ED1DD3" w14:textId="77777777" w:rsidR="001016AB" w:rsidRPr="00674BE7" w:rsidRDefault="00623F19" w:rsidP="005D3C74">
            <w:pPr>
              <w:spacing w:before="120" w:after="120"/>
              <w:rPr>
                <w:b/>
              </w:rPr>
            </w:pPr>
            <w:r>
              <w:t>Extreme</w:t>
            </w:r>
          </w:p>
        </w:tc>
      </w:tr>
      <w:tr w:rsidR="008159C6" w14:paraId="69AFD2CE" w14:textId="77777777" w:rsidTr="0052309B">
        <w:tc>
          <w:tcPr>
            <w:tcW w:w="2122" w:type="dxa"/>
          </w:tcPr>
          <w:p w14:paraId="0CF1E6E6" w14:textId="77777777" w:rsidR="001016AB" w:rsidRPr="00674BE7" w:rsidRDefault="001016AB" w:rsidP="005D3C74">
            <w:pPr>
              <w:spacing w:before="120" w:after="120"/>
              <w:rPr>
                <w:b/>
              </w:rPr>
            </w:pPr>
            <w:r w:rsidRPr="00674BE7">
              <w:rPr>
                <w:b/>
              </w:rPr>
              <w:t xml:space="preserve">Types of information </w:t>
            </w:r>
          </w:p>
        </w:tc>
        <w:tc>
          <w:tcPr>
            <w:tcW w:w="2639" w:type="dxa"/>
          </w:tcPr>
          <w:p w14:paraId="3733B1D7" w14:textId="77777777" w:rsidR="001016AB" w:rsidRPr="00674BE7" w:rsidRDefault="001016AB" w:rsidP="005D3C74">
            <w:pPr>
              <w:spacing w:before="120" w:after="120"/>
            </w:pPr>
            <w:r>
              <w:t xml:space="preserve">Publically available information </w:t>
            </w:r>
          </w:p>
        </w:tc>
        <w:tc>
          <w:tcPr>
            <w:tcW w:w="2126" w:type="dxa"/>
          </w:tcPr>
          <w:p w14:paraId="553A45FE" w14:textId="77777777" w:rsidR="001016AB" w:rsidRPr="00674BE7" w:rsidRDefault="001016AB" w:rsidP="005D3C74">
            <w:pPr>
              <w:spacing w:before="120" w:after="120"/>
            </w:pPr>
            <w:r w:rsidRPr="001016AB">
              <w:t>Name and gender</w:t>
            </w:r>
          </w:p>
        </w:tc>
        <w:tc>
          <w:tcPr>
            <w:tcW w:w="2977" w:type="dxa"/>
          </w:tcPr>
          <w:p w14:paraId="379C06A7" w14:textId="77777777" w:rsidR="001016AB" w:rsidRPr="00674BE7" w:rsidRDefault="001016AB" w:rsidP="005D3C74">
            <w:pPr>
              <w:spacing w:before="120" w:after="120"/>
            </w:pPr>
            <w:r w:rsidRPr="00674BE7">
              <w:t>Contact details including UNE</w:t>
            </w:r>
            <w:r w:rsidR="00005DFB">
              <w:t xml:space="preserve"> Employee number,</w:t>
            </w:r>
            <w:r w:rsidRPr="00674BE7">
              <w:t xml:space="preserve"> email address</w:t>
            </w:r>
            <w:r w:rsidR="00D75316">
              <w:t>es</w:t>
            </w:r>
            <w:r w:rsidR="00D564CC">
              <w:t xml:space="preserve"> of students or staff not already in the public domain.</w:t>
            </w:r>
          </w:p>
        </w:tc>
        <w:tc>
          <w:tcPr>
            <w:tcW w:w="5866" w:type="dxa"/>
          </w:tcPr>
          <w:p w14:paraId="77B8054A" w14:textId="77777777" w:rsidR="001016AB" w:rsidRPr="00674BE7" w:rsidRDefault="00005DFB" w:rsidP="005D3C74">
            <w:pPr>
              <w:spacing w:before="120" w:after="120"/>
            </w:pPr>
            <w:r>
              <w:t xml:space="preserve">Address information, Next of Kin/Emergency contact information, </w:t>
            </w:r>
            <w:r w:rsidR="001016AB" w:rsidRPr="00674BE7">
              <w:t>Health information, TFNs, Identity documents, passports, Medicare</w:t>
            </w:r>
            <w:r w:rsidR="00D75316">
              <w:t xml:space="preserve"> details</w:t>
            </w:r>
            <w:r w:rsidR="001016AB" w:rsidRPr="00674BE7">
              <w:t xml:space="preserve">, contact details of vulnerable people, contact information disclosing individuals who accessed a service or event which may expose them to public embarrassment or ridicule e.g. sexual health services. </w:t>
            </w:r>
          </w:p>
        </w:tc>
      </w:tr>
      <w:tr w:rsidR="008159C6" w14:paraId="31AAF346" w14:textId="77777777" w:rsidTr="0052309B">
        <w:tc>
          <w:tcPr>
            <w:tcW w:w="2122" w:type="dxa"/>
          </w:tcPr>
          <w:p w14:paraId="19370A78" w14:textId="5919AB79" w:rsidR="001016AB" w:rsidRPr="00674BE7" w:rsidRDefault="008159C6" w:rsidP="005D3C74">
            <w:pPr>
              <w:spacing w:before="120" w:after="120"/>
              <w:rPr>
                <w:b/>
              </w:rPr>
            </w:pPr>
            <w:r>
              <w:rPr>
                <w:b/>
              </w:rPr>
              <w:t>Identity a</w:t>
            </w:r>
            <w:r w:rsidR="001016AB" w:rsidRPr="00674BE7">
              <w:rPr>
                <w:b/>
              </w:rPr>
              <w:t xml:space="preserve">pparent or </w:t>
            </w:r>
            <w:r>
              <w:rPr>
                <w:b/>
              </w:rPr>
              <w:t>a</w:t>
            </w:r>
            <w:r w:rsidR="001016AB" w:rsidRPr="00674BE7">
              <w:rPr>
                <w:b/>
              </w:rPr>
              <w:t>scertainable</w:t>
            </w:r>
          </w:p>
        </w:tc>
        <w:tc>
          <w:tcPr>
            <w:tcW w:w="2639" w:type="dxa"/>
          </w:tcPr>
          <w:p w14:paraId="6F996B11" w14:textId="3DB8F52A" w:rsidR="001016AB" w:rsidRPr="00674BE7" w:rsidRDefault="001016AB" w:rsidP="005D3C74">
            <w:pPr>
              <w:spacing w:before="120" w:after="120"/>
            </w:pPr>
            <w:r w:rsidRPr="00674BE7">
              <w:t>Yes but publically available or statistical information</w:t>
            </w:r>
            <w:r>
              <w:t xml:space="preserve"> or no</w:t>
            </w:r>
            <w:r w:rsidR="00D75316">
              <w:t>t</w:t>
            </w:r>
            <w:r>
              <w:t xml:space="preserve"> </w:t>
            </w:r>
            <w:r w:rsidR="005D3C74">
              <w:t xml:space="preserve">information </w:t>
            </w:r>
            <w:proofErr w:type="gramStart"/>
            <w:r w:rsidR="005D3C74">
              <w:t xml:space="preserve">has not been </w:t>
            </w:r>
            <w:r>
              <w:t>de</w:t>
            </w:r>
            <w:r w:rsidR="005D3C74">
              <w:t>-</w:t>
            </w:r>
            <w:r>
              <w:t>identified</w:t>
            </w:r>
            <w:proofErr w:type="gramEnd"/>
            <w:r>
              <w:t xml:space="preserve"> to </w:t>
            </w:r>
            <w:r w:rsidR="005D3C74">
              <w:t xml:space="preserve">the </w:t>
            </w:r>
            <w:r>
              <w:t xml:space="preserve">requisite standard. </w:t>
            </w:r>
            <w:r w:rsidRPr="00674BE7">
              <w:t xml:space="preserve"> </w:t>
            </w:r>
          </w:p>
        </w:tc>
        <w:tc>
          <w:tcPr>
            <w:tcW w:w="2126" w:type="dxa"/>
          </w:tcPr>
          <w:p w14:paraId="6BAD6455" w14:textId="1B9D4979" w:rsidR="001016AB" w:rsidRPr="00674BE7" w:rsidRDefault="005D3C74" w:rsidP="005D3C74">
            <w:pPr>
              <w:spacing w:before="120" w:after="120"/>
            </w:pPr>
            <w:r>
              <w:t>Yes, but l</w:t>
            </w:r>
            <w:r w:rsidR="00005DFB" w:rsidRPr="00674BE7">
              <w:t xml:space="preserve">imited </w:t>
            </w:r>
            <w:r w:rsidR="001016AB" w:rsidRPr="00674BE7">
              <w:t>personal information</w:t>
            </w:r>
          </w:p>
        </w:tc>
        <w:tc>
          <w:tcPr>
            <w:tcW w:w="2977" w:type="dxa"/>
          </w:tcPr>
          <w:p w14:paraId="75EF0624" w14:textId="77777777" w:rsidR="001016AB" w:rsidRPr="00674BE7" w:rsidRDefault="001016AB" w:rsidP="005D3C74">
            <w:pPr>
              <w:spacing w:before="120" w:after="120"/>
            </w:pPr>
            <w:r w:rsidRPr="00674BE7">
              <w:t>Yes</w:t>
            </w:r>
          </w:p>
        </w:tc>
        <w:tc>
          <w:tcPr>
            <w:tcW w:w="5866" w:type="dxa"/>
          </w:tcPr>
          <w:p w14:paraId="6DCB7741" w14:textId="77777777" w:rsidR="001016AB" w:rsidRPr="00674BE7" w:rsidRDefault="001016AB" w:rsidP="005D3C74">
            <w:pPr>
              <w:spacing w:before="120" w:after="120"/>
            </w:pPr>
            <w:r w:rsidRPr="00674BE7">
              <w:t xml:space="preserve">Yes detailed or relating to a vulnerable person or group. </w:t>
            </w:r>
          </w:p>
        </w:tc>
      </w:tr>
      <w:tr w:rsidR="008159C6" w14:paraId="74AADC21" w14:textId="77777777" w:rsidTr="0052309B">
        <w:tc>
          <w:tcPr>
            <w:tcW w:w="2122" w:type="dxa"/>
          </w:tcPr>
          <w:p w14:paraId="0643853F" w14:textId="77777777" w:rsidR="001016AB" w:rsidRPr="00674BE7" w:rsidRDefault="001016AB" w:rsidP="005D3C74">
            <w:pPr>
              <w:spacing w:before="120" w:after="120"/>
              <w:rPr>
                <w:b/>
              </w:rPr>
            </w:pPr>
            <w:r w:rsidRPr="00674BE7">
              <w:rPr>
                <w:b/>
              </w:rPr>
              <w:t>How long has the information been accessible?</w:t>
            </w:r>
          </w:p>
        </w:tc>
        <w:tc>
          <w:tcPr>
            <w:tcW w:w="2639" w:type="dxa"/>
          </w:tcPr>
          <w:p w14:paraId="675B79EE" w14:textId="77777777" w:rsidR="001016AB" w:rsidRPr="00674BE7" w:rsidRDefault="001016AB" w:rsidP="005D3C74">
            <w:pPr>
              <w:spacing w:before="120" w:after="120"/>
            </w:pPr>
            <w:r>
              <w:t xml:space="preserve">Investigation determined no breach due to information types. </w:t>
            </w:r>
          </w:p>
        </w:tc>
        <w:tc>
          <w:tcPr>
            <w:tcW w:w="2126" w:type="dxa"/>
          </w:tcPr>
          <w:p w14:paraId="3B619A92" w14:textId="77777777" w:rsidR="001016AB" w:rsidRPr="00674BE7" w:rsidRDefault="001016AB" w:rsidP="005D3C74">
            <w:pPr>
              <w:spacing w:before="120" w:after="120"/>
            </w:pPr>
            <w:r>
              <w:t xml:space="preserve">Uncovered immediately or shortly after breach. </w:t>
            </w:r>
          </w:p>
        </w:tc>
        <w:tc>
          <w:tcPr>
            <w:tcW w:w="2977" w:type="dxa"/>
          </w:tcPr>
          <w:p w14:paraId="2A73973A" w14:textId="77777777" w:rsidR="001016AB" w:rsidRPr="00674BE7" w:rsidRDefault="001016AB" w:rsidP="005D3C74">
            <w:pPr>
              <w:spacing w:before="120" w:after="120"/>
            </w:pPr>
            <w:r w:rsidRPr="00674BE7">
              <w:t xml:space="preserve">Access to information for a short term or access logs confirm limited exposure. </w:t>
            </w:r>
          </w:p>
        </w:tc>
        <w:tc>
          <w:tcPr>
            <w:tcW w:w="5866" w:type="dxa"/>
          </w:tcPr>
          <w:p w14:paraId="2F7D4AC9" w14:textId="77777777" w:rsidR="001016AB" w:rsidRPr="00674BE7" w:rsidRDefault="001016AB" w:rsidP="005D3C74">
            <w:pPr>
              <w:spacing w:before="120" w:after="120"/>
            </w:pPr>
            <w:r w:rsidRPr="00674BE7">
              <w:t>Long term or unknown</w:t>
            </w:r>
          </w:p>
        </w:tc>
      </w:tr>
      <w:tr w:rsidR="008159C6" w14:paraId="762F9581" w14:textId="77777777" w:rsidTr="0052309B">
        <w:trPr>
          <w:trHeight w:val="182"/>
        </w:trPr>
        <w:tc>
          <w:tcPr>
            <w:tcW w:w="2122" w:type="dxa"/>
          </w:tcPr>
          <w:p w14:paraId="59CBD965" w14:textId="4D52C0B5" w:rsidR="001016AB" w:rsidRPr="00674BE7" w:rsidRDefault="005D3C74" w:rsidP="005D3C74">
            <w:pPr>
              <w:spacing w:before="120" w:after="120"/>
              <w:rPr>
                <w:b/>
              </w:rPr>
            </w:pPr>
            <w:r>
              <w:rPr>
                <w:b/>
              </w:rPr>
              <w:t>H</w:t>
            </w:r>
            <w:r w:rsidR="008159C6">
              <w:rPr>
                <w:b/>
              </w:rPr>
              <w:t>ealth or s</w:t>
            </w:r>
            <w:r w:rsidR="001016AB" w:rsidRPr="00674BE7">
              <w:rPr>
                <w:b/>
              </w:rPr>
              <w:t xml:space="preserve">ensitive </w:t>
            </w:r>
            <w:r w:rsidR="008159C6" w:rsidRPr="00674BE7">
              <w:rPr>
                <w:b/>
              </w:rPr>
              <w:t>information?</w:t>
            </w:r>
          </w:p>
        </w:tc>
        <w:tc>
          <w:tcPr>
            <w:tcW w:w="2639" w:type="dxa"/>
          </w:tcPr>
          <w:p w14:paraId="7C5FD7D2" w14:textId="77777777" w:rsidR="001016AB" w:rsidRPr="00674BE7" w:rsidRDefault="001016AB" w:rsidP="005D3C74">
            <w:pPr>
              <w:spacing w:before="120" w:after="120"/>
            </w:pPr>
            <w:r w:rsidRPr="00674BE7">
              <w:t>No</w:t>
            </w:r>
          </w:p>
        </w:tc>
        <w:tc>
          <w:tcPr>
            <w:tcW w:w="2126" w:type="dxa"/>
          </w:tcPr>
          <w:p w14:paraId="03E79538" w14:textId="77777777" w:rsidR="001016AB" w:rsidRPr="00674BE7" w:rsidRDefault="001016AB" w:rsidP="005D3C74">
            <w:pPr>
              <w:spacing w:before="120" w:after="120"/>
            </w:pPr>
            <w:r>
              <w:t>No</w:t>
            </w:r>
          </w:p>
        </w:tc>
        <w:tc>
          <w:tcPr>
            <w:tcW w:w="2977" w:type="dxa"/>
          </w:tcPr>
          <w:p w14:paraId="6654379E" w14:textId="77777777" w:rsidR="001016AB" w:rsidRPr="00674BE7" w:rsidRDefault="001016AB" w:rsidP="005D3C74">
            <w:pPr>
              <w:spacing w:before="120" w:after="120"/>
            </w:pPr>
            <w:r w:rsidRPr="00674BE7">
              <w:t>No</w:t>
            </w:r>
          </w:p>
        </w:tc>
        <w:tc>
          <w:tcPr>
            <w:tcW w:w="5866" w:type="dxa"/>
          </w:tcPr>
          <w:p w14:paraId="47E6A408" w14:textId="77777777" w:rsidR="001016AB" w:rsidRPr="00674BE7" w:rsidRDefault="001016AB" w:rsidP="005D3C74">
            <w:pPr>
              <w:spacing w:before="120" w:after="120"/>
            </w:pPr>
            <w:r w:rsidRPr="00674BE7">
              <w:t xml:space="preserve">Yes or highly detailed information e.g. the information exposed individuals accessing mental health services, or treatment for sensitive health issues. </w:t>
            </w:r>
          </w:p>
        </w:tc>
      </w:tr>
      <w:tr w:rsidR="001016AB" w14:paraId="322500DA" w14:textId="77777777" w:rsidTr="0052309B">
        <w:tc>
          <w:tcPr>
            <w:tcW w:w="2122" w:type="dxa"/>
          </w:tcPr>
          <w:p w14:paraId="2E985EE0" w14:textId="77777777" w:rsidR="001016AB" w:rsidRPr="00674BE7" w:rsidRDefault="001016AB" w:rsidP="005D3C74">
            <w:pPr>
              <w:spacing w:before="120" w:after="120"/>
              <w:rPr>
                <w:b/>
              </w:rPr>
            </w:pPr>
            <w:r w:rsidRPr="00674BE7">
              <w:rPr>
                <w:b/>
              </w:rPr>
              <w:t xml:space="preserve">Source </w:t>
            </w:r>
          </w:p>
        </w:tc>
        <w:tc>
          <w:tcPr>
            <w:tcW w:w="2639" w:type="dxa"/>
          </w:tcPr>
          <w:p w14:paraId="267C81A1" w14:textId="77777777" w:rsidR="001016AB" w:rsidRPr="00674BE7" w:rsidRDefault="001016AB" w:rsidP="005D3C74">
            <w:pPr>
              <w:spacing w:before="120" w:after="120"/>
            </w:pPr>
            <w:r>
              <w:t>Advertising material, paper files</w:t>
            </w:r>
          </w:p>
        </w:tc>
        <w:tc>
          <w:tcPr>
            <w:tcW w:w="2126" w:type="dxa"/>
          </w:tcPr>
          <w:p w14:paraId="1185D78E" w14:textId="77777777" w:rsidR="001016AB" w:rsidRPr="00674BE7" w:rsidRDefault="001016AB" w:rsidP="005D3C74">
            <w:pPr>
              <w:spacing w:before="120" w:after="120"/>
            </w:pPr>
            <w:r w:rsidRPr="001016AB">
              <w:t>Paper files, limited spreadsheet</w:t>
            </w:r>
          </w:p>
        </w:tc>
        <w:tc>
          <w:tcPr>
            <w:tcW w:w="2977" w:type="dxa"/>
          </w:tcPr>
          <w:p w14:paraId="56AB22CC" w14:textId="0D41C4F8" w:rsidR="001016AB" w:rsidRPr="00674BE7" w:rsidRDefault="001016AB" w:rsidP="005D3C74">
            <w:pPr>
              <w:spacing w:before="120" w:after="120"/>
            </w:pPr>
            <w:r w:rsidRPr="00674BE7">
              <w:t>Systems with limited access and information, spreadsheets with limited information, attendance list</w:t>
            </w:r>
            <w:r>
              <w:t>s</w:t>
            </w:r>
            <w:r w:rsidRPr="00674BE7">
              <w:t xml:space="preserve"> </w:t>
            </w:r>
          </w:p>
        </w:tc>
        <w:tc>
          <w:tcPr>
            <w:tcW w:w="5866" w:type="dxa"/>
          </w:tcPr>
          <w:p w14:paraId="7E62DF7F" w14:textId="77777777" w:rsidR="001016AB" w:rsidRPr="00674BE7" w:rsidRDefault="001016AB" w:rsidP="005D3C74">
            <w:pPr>
              <w:spacing w:before="120" w:after="120"/>
            </w:pPr>
            <w:r w:rsidRPr="00674BE7">
              <w:t xml:space="preserve">Major UNE system, USB with research data, hard copy sensitive information, health care database, and contact details related to a victim of domestic abuse, disclosure of attendance related to particular activity, which exposes sensitive information such as sexual orientation or </w:t>
            </w:r>
            <w:r>
              <w:t>trade union membership.</w:t>
            </w:r>
          </w:p>
        </w:tc>
      </w:tr>
      <w:tr w:rsidR="001016AB" w14:paraId="5BE80106" w14:textId="77777777" w:rsidTr="0052309B">
        <w:tc>
          <w:tcPr>
            <w:tcW w:w="2122" w:type="dxa"/>
          </w:tcPr>
          <w:p w14:paraId="509E6C75" w14:textId="77777777" w:rsidR="001016AB" w:rsidRPr="00432FF5" w:rsidRDefault="001016AB" w:rsidP="005D3C74">
            <w:pPr>
              <w:spacing w:before="120" w:after="120"/>
              <w:rPr>
                <w:b/>
              </w:rPr>
            </w:pPr>
            <w:r w:rsidRPr="00432FF5">
              <w:rPr>
                <w:b/>
              </w:rPr>
              <w:t xml:space="preserve">Individual context which may make harm more likely </w:t>
            </w:r>
          </w:p>
        </w:tc>
        <w:tc>
          <w:tcPr>
            <w:tcW w:w="2639" w:type="dxa"/>
          </w:tcPr>
          <w:p w14:paraId="68B3A65C" w14:textId="77777777" w:rsidR="001016AB" w:rsidRPr="00674BE7" w:rsidRDefault="001016AB" w:rsidP="005D3C74">
            <w:pPr>
              <w:spacing w:before="120" w:after="120"/>
            </w:pPr>
            <w:r>
              <w:t>No</w:t>
            </w:r>
          </w:p>
        </w:tc>
        <w:tc>
          <w:tcPr>
            <w:tcW w:w="2126" w:type="dxa"/>
          </w:tcPr>
          <w:p w14:paraId="4F01F9CD" w14:textId="77777777" w:rsidR="001016AB" w:rsidRDefault="001016AB" w:rsidP="005D3C74">
            <w:pPr>
              <w:spacing w:before="120" w:after="120"/>
            </w:pPr>
            <w:r>
              <w:t>No</w:t>
            </w:r>
          </w:p>
        </w:tc>
        <w:tc>
          <w:tcPr>
            <w:tcW w:w="2977" w:type="dxa"/>
          </w:tcPr>
          <w:p w14:paraId="19D91A45" w14:textId="7CA0058C" w:rsidR="001016AB" w:rsidRPr="00674BE7" w:rsidRDefault="00906FE5" w:rsidP="005D3C74">
            <w:pPr>
              <w:spacing w:before="120" w:after="120"/>
            </w:pPr>
            <w:r>
              <w:t>I</w:t>
            </w:r>
            <w:r w:rsidR="001016AB">
              <w:t xml:space="preserve">ndividuals with </w:t>
            </w:r>
            <w:proofErr w:type="gramStart"/>
            <w:r w:rsidR="001016AB">
              <w:t>circumstances which may mean exposure</w:t>
            </w:r>
            <w:proofErr w:type="gramEnd"/>
            <w:r w:rsidR="001016AB">
              <w:t xml:space="preserve"> is more harmful. </w:t>
            </w:r>
          </w:p>
        </w:tc>
        <w:tc>
          <w:tcPr>
            <w:tcW w:w="5866" w:type="dxa"/>
          </w:tcPr>
          <w:p w14:paraId="38D19904" w14:textId="77777777" w:rsidR="001016AB" w:rsidRPr="00674BE7" w:rsidRDefault="001016AB" w:rsidP="005D3C74">
            <w:pPr>
              <w:spacing w:before="120" w:after="120"/>
            </w:pPr>
            <w:r>
              <w:t>Yes e.g. domestic violence victims, individuals in witness protection, those involved in family court matters</w:t>
            </w:r>
          </w:p>
        </w:tc>
      </w:tr>
      <w:tr w:rsidR="001016AB" w14:paraId="1C530F98" w14:textId="77777777" w:rsidTr="0052309B">
        <w:trPr>
          <w:trHeight w:val="913"/>
        </w:trPr>
        <w:tc>
          <w:tcPr>
            <w:tcW w:w="2122" w:type="dxa"/>
          </w:tcPr>
          <w:p w14:paraId="6E7C2376" w14:textId="77777777" w:rsidR="001016AB" w:rsidRPr="00674BE7" w:rsidRDefault="001016AB" w:rsidP="005D3C74">
            <w:pPr>
              <w:spacing w:before="120" w:after="120"/>
              <w:rPr>
                <w:b/>
              </w:rPr>
            </w:pPr>
            <w:r w:rsidRPr="00674BE7">
              <w:rPr>
                <w:b/>
              </w:rPr>
              <w:lastRenderedPageBreak/>
              <w:t>Severity and scale</w:t>
            </w:r>
          </w:p>
        </w:tc>
        <w:tc>
          <w:tcPr>
            <w:tcW w:w="2639" w:type="dxa"/>
          </w:tcPr>
          <w:p w14:paraId="2B694F5E" w14:textId="77777777" w:rsidR="001016AB" w:rsidRPr="00674BE7" w:rsidRDefault="001016AB" w:rsidP="005D3C74">
            <w:pPr>
              <w:spacing w:before="120" w:after="120"/>
            </w:pPr>
            <w:r>
              <w:t xml:space="preserve">Large scale but no </w:t>
            </w:r>
            <w:r w:rsidR="00D75316">
              <w:t>personal information</w:t>
            </w:r>
          </w:p>
        </w:tc>
        <w:tc>
          <w:tcPr>
            <w:tcW w:w="2126" w:type="dxa"/>
          </w:tcPr>
          <w:p w14:paraId="02169967" w14:textId="41B7168F" w:rsidR="001016AB" w:rsidRPr="00674BE7" w:rsidRDefault="001016AB" w:rsidP="005D3C74">
            <w:pPr>
              <w:spacing w:before="120" w:after="120"/>
            </w:pPr>
            <w:r w:rsidRPr="001016AB">
              <w:t xml:space="preserve">Small scale limited </w:t>
            </w:r>
            <w:r w:rsidR="00906FE5">
              <w:t xml:space="preserve">personal </w:t>
            </w:r>
            <w:r w:rsidRPr="001016AB">
              <w:t>details.</w:t>
            </w:r>
          </w:p>
        </w:tc>
        <w:tc>
          <w:tcPr>
            <w:tcW w:w="2977" w:type="dxa"/>
          </w:tcPr>
          <w:p w14:paraId="3807A623" w14:textId="77777777" w:rsidR="001016AB" w:rsidRPr="00674BE7" w:rsidRDefault="001016AB" w:rsidP="005D3C74">
            <w:pPr>
              <w:spacing w:before="120" w:after="120"/>
            </w:pPr>
            <w:r w:rsidRPr="00674BE7">
              <w:t xml:space="preserve">Medium scale breach. A few people with a medium amount of personal information or many individuals with low levels of </w:t>
            </w:r>
            <w:r w:rsidR="00D75316">
              <w:t>personal information</w:t>
            </w:r>
            <w:r w:rsidRPr="00674BE7">
              <w:t xml:space="preserve"> </w:t>
            </w:r>
          </w:p>
        </w:tc>
        <w:tc>
          <w:tcPr>
            <w:tcW w:w="5866" w:type="dxa"/>
          </w:tcPr>
          <w:p w14:paraId="187D5C85" w14:textId="77777777" w:rsidR="001016AB" w:rsidRPr="00674BE7" w:rsidRDefault="001016AB" w:rsidP="005D3C74">
            <w:pPr>
              <w:spacing w:before="120" w:after="120"/>
            </w:pPr>
            <w:r w:rsidRPr="00674BE7">
              <w:t xml:space="preserve">Large-scale breach or small number with extensive sensitive details or belonging to a vulnerable population or a high-risk individual. </w:t>
            </w:r>
          </w:p>
        </w:tc>
      </w:tr>
      <w:tr w:rsidR="001016AB" w14:paraId="016ABE7A" w14:textId="77777777" w:rsidTr="0052309B">
        <w:tc>
          <w:tcPr>
            <w:tcW w:w="2122" w:type="dxa"/>
          </w:tcPr>
          <w:p w14:paraId="6CC4FE55" w14:textId="43BAC07B" w:rsidR="001016AB" w:rsidRPr="00674BE7" w:rsidRDefault="001016AB" w:rsidP="005D3C74">
            <w:pPr>
              <w:spacing w:before="120" w:after="120"/>
              <w:rPr>
                <w:b/>
              </w:rPr>
            </w:pPr>
            <w:r w:rsidRPr="00674BE7">
              <w:rPr>
                <w:b/>
              </w:rPr>
              <w:t>What coul</w:t>
            </w:r>
            <w:r w:rsidR="008159C6">
              <w:rPr>
                <w:b/>
              </w:rPr>
              <w:t>d the information be used for/ potential h</w:t>
            </w:r>
            <w:r w:rsidRPr="00674BE7">
              <w:rPr>
                <w:b/>
              </w:rPr>
              <w:t xml:space="preserve">arm </w:t>
            </w:r>
          </w:p>
        </w:tc>
        <w:tc>
          <w:tcPr>
            <w:tcW w:w="2639" w:type="dxa"/>
          </w:tcPr>
          <w:p w14:paraId="5C5DEBC7" w14:textId="77777777" w:rsidR="001016AB" w:rsidRPr="00674BE7" w:rsidRDefault="001016AB" w:rsidP="005D3C74">
            <w:pPr>
              <w:spacing w:before="120" w:after="120"/>
            </w:pPr>
            <w:r>
              <w:t xml:space="preserve">No impact </w:t>
            </w:r>
          </w:p>
        </w:tc>
        <w:tc>
          <w:tcPr>
            <w:tcW w:w="2126" w:type="dxa"/>
          </w:tcPr>
          <w:p w14:paraId="1A2B1686" w14:textId="77777777" w:rsidR="001016AB" w:rsidRPr="00674BE7" w:rsidRDefault="001016AB" w:rsidP="005D3C74">
            <w:pPr>
              <w:spacing w:before="120" w:after="120"/>
            </w:pPr>
            <w:r w:rsidRPr="001016AB">
              <w:t>Insignificant  - minimal impact on individual</w:t>
            </w:r>
          </w:p>
        </w:tc>
        <w:tc>
          <w:tcPr>
            <w:tcW w:w="2977" w:type="dxa"/>
          </w:tcPr>
          <w:p w14:paraId="020BD55F" w14:textId="77777777" w:rsidR="001016AB" w:rsidRPr="00674BE7" w:rsidRDefault="001016AB" w:rsidP="005D3C74">
            <w:pPr>
              <w:spacing w:before="120" w:after="120"/>
            </w:pPr>
            <w:r w:rsidRPr="00674BE7">
              <w:t xml:space="preserve">Spam or unwanted marketing, nuisance emails, minor embarrassment, </w:t>
            </w:r>
          </w:p>
          <w:p w14:paraId="1B0543F4" w14:textId="77777777" w:rsidR="001016AB" w:rsidRPr="00674BE7" w:rsidRDefault="001016AB" w:rsidP="005D3C74">
            <w:pPr>
              <w:spacing w:before="120" w:after="120"/>
            </w:pPr>
            <w:r>
              <w:t>minor inconvenience,</w:t>
            </w:r>
          </w:p>
          <w:p w14:paraId="340CA217" w14:textId="77777777" w:rsidR="001016AB" w:rsidRPr="00674BE7" w:rsidRDefault="001016AB" w:rsidP="005D3C74">
            <w:pPr>
              <w:spacing w:before="120" w:after="120"/>
            </w:pPr>
            <w:r>
              <w:t>s</w:t>
            </w:r>
            <w:r w:rsidRPr="00674BE7">
              <w:t>hort term harm</w:t>
            </w:r>
          </w:p>
        </w:tc>
        <w:tc>
          <w:tcPr>
            <w:tcW w:w="5866" w:type="dxa"/>
          </w:tcPr>
          <w:p w14:paraId="63B30A8B" w14:textId="77777777" w:rsidR="001016AB" w:rsidRDefault="001016AB" w:rsidP="005D3C7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5168B1">
              <w:rPr>
                <w:rFonts w:cstheme="minorHAnsi"/>
                <w:color w:val="000000"/>
              </w:rPr>
              <w:t>Harm to individuals</w:t>
            </w:r>
            <w:r>
              <w:rPr>
                <w:rFonts w:cstheme="minorHAnsi"/>
                <w:color w:val="000000"/>
              </w:rPr>
              <w:t xml:space="preserve"> such as:</w:t>
            </w:r>
          </w:p>
          <w:p w14:paraId="66A86D8E" w14:textId="77777777" w:rsidR="001016AB" w:rsidRPr="005168B1" w:rsidRDefault="001016AB" w:rsidP="005D3C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5168B1">
              <w:rPr>
                <w:rFonts w:cstheme="minorHAnsi"/>
                <w:color w:val="000000"/>
              </w:rPr>
              <w:t>Financial fraud including unauthorised credit card transactions or credit fraud;</w:t>
            </w:r>
          </w:p>
          <w:p w14:paraId="667FD27A" w14:textId="77777777" w:rsidR="001016AB" w:rsidRPr="005168B1" w:rsidRDefault="001016AB" w:rsidP="005D3C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5168B1">
              <w:rPr>
                <w:rFonts w:cstheme="minorHAnsi"/>
                <w:color w:val="000000"/>
              </w:rPr>
              <w:t>Identity theft causing financial loss or emotional and psychological harm</w:t>
            </w:r>
            <w:r>
              <w:rPr>
                <w:rFonts w:cstheme="minorHAnsi"/>
                <w:color w:val="000000"/>
              </w:rPr>
              <w:t>;</w:t>
            </w:r>
            <w:r w:rsidRPr="005168B1">
              <w:rPr>
                <w:rFonts w:cstheme="minorHAnsi"/>
                <w:color w:val="000000"/>
              </w:rPr>
              <w:t xml:space="preserve"> </w:t>
            </w:r>
          </w:p>
          <w:p w14:paraId="50BA6FC1" w14:textId="77777777" w:rsidR="001016AB" w:rsidRPr="005168B1" w:rsidRDefault="001016AB" w:rsidP="005D3C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5168B1">
              <w:rPr>
                <w:rFonts w:cstheme="minorHAnsi"/>
                <w:color w:val="000000"/>
              </w:rPr>
              <w:t>Family violence</w:t>
            </w:r>
            <w:r>
              <w:rPr>
                <w:rFonts w:cstheme="minorHAnsi"/>
                <w:color w:val="000000"/>
              </w:rPr>
              <w:t>;</w:t>
            </w:r>
          </w:p>
          <w:p w14:paraId="1B5E2C5C" w14:textId="77777777" w:rsidR="001016AB" w:rsidRPr="005168B1" w:rsidRDefault="001016AB" w:rsidP="005D3C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5168B1">
              <w:rPr>
                <w:rFonts w:cstheme="minorHAnsi"/>
                <w:color w:val="000000"/>
              </w:rPr>
              <w:t>Physical harm or intimidation</w:t>
            </w:r>
            <w:r>
              <w:rPr>
                <w:rFonts w:cstheme="minorHAnsi"/>
                <w:color w:val="000000"/>
              </w:rPr>
              <w:t>;</w:t>
            </w:r>
            <w:r w:rsidRPr="005168B1">
              <w:rPr>
                <w:rFonts w:cstheme="minorHAnsi"/>
                <w:color w:val="000000"/>
              </w:rPr>
              <w:t xml:space="preserve"> </w:t>
            </w:r>
          </w:p>
          <w:p w14:paraId="06D898D2" w14:textId="77777777" w:rsidR="001016AB" w:rsidRPr="005168B1" w:rsidRDefault="001016AB" w:rsidP="005D3C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5168B1">
              <w:rPr>
                <w:rFonts w:cstheme="minorHAnsi"/>
                <w:color w:val="000000"/>
              </w:rPr>
              <w:t>loss of business or employment opportunities</w:t>
            </w:r>
            <w:r>
              <w:rPr>
                <w:rFonts w:cstheme="minorHAnsi"/>
                <w:color w:val="000000"/>
              </w:rPr>
              <w:t>;</w:t>
            </w:r>
          </w:p>
          <w:p w14:paraId="3E6B6A22" w14:textId="77777777" w:rsidR="001016AB" w:rsidRPr="005168B1" w:rsidRDefault="001016AB" w:rsidP="005D3C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5168B1">
              <w:rPr>
                <w:rFonts w:cstheme="minorHAnsi"/>
                <w:color w:val="000000"/>
              </w:rPr>
              <w:t>humiliation, damage to reputation or relationships</w:t>
            </w:r>
            <w:r>
              <w:rPr>
                <w:rFonts w:cstheme="minorHAnsi"/>
                <w:color w:val="000000"/>
              </w:rPr>
              <w:t>; or</w:t>
            </w:r>
          </w:p>
          <w:p w14:paraId="39D37CE2" w14:textId="77777777" w:rsidR="001016AB" w:rsidRPr="00674BE7" w:rsidRDefault="001016AB" w:rsidP="005D3C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</w:pPr>
            <w:proofErr w:type="gramStart"/>
            <w:r w:rsidRPr="005168B1">
              <w:rPr>
                <w:rFonts w:cstheme="minorHAnsi"/>
                <w:color w:val="000000"/>
              </w:rPr>
              <w:t>workplace</w:t>
            </w:r>
            <w:proofErr w:type="gramEnd"/>
            <w:r w:rsidRPr="005168B1">
              <w:rPr>
                <w:rFonts w:cstheme="minorHAnsi"/>
                <w:color w:val="000000"/>
              </w:rPr>
              <w:t xml:space="preserve"> or social bullying or marginalisation</w:t>
            </w:r>
            <w:r>
              <w:rPr>
                <w:rFonts w:cstheme="minorHAnsi"/>
                <w:color w:val="000000"/>
              </w:rPr>
              <w:t>.</w:t>
            </w:r>
          </w:p>
        </w:tc>
      </w:tr>
      <w:tr w:rsidR="001016AB" w14:paraId="49A66EBB" w14:textId="77777777" w:rsidTr="0052309B">
        <w:tc>
          <w:tcPr>
            <w:tcW w:w="2122" w:type="dxa"/>
          </w:tcPr>
          <w:p w14:paraId="7719EFA9" w14:textId="77777777" w:rsidR="001016AB" w:rsidRPr="00674BE7" w:rsidRDefault="001016AB" w:rsidP="005D3C74">
            <w:pPr>
              <w:spacing w:before="120" w:after="120"/>
              <w:rPr>
                <w:b/>
              </w:rPr>
            </w:pPr>
            <w:r w:rsidRPr="00674BE7">
              <w:rPr>
                <w:b/>
              </w:rPr>
              <w:t>Is the personal information encrypted, anonymised, or otherwise not easily accessible?</w:t>
            </w:r>
          </w:p>
        </w:tc>
        <w:tc>
          <w:tcPr>
            <w:tcW w:w="2639" w:type="dxa"/>
          </w:tcPr>
          <w:p w14:paraId="390C2014" w14:textId="77777777" w:rsidR="001016AB" w:rsidRPr="00674BE7" w:rsidRDefault="001016AB" w:rsidP="005D3C74">
            <w:pPr>
              <w:spacing w:before="120" w:after="120"/>
            </w:pPr>
            <w:r w:rsidRPr="00674BE7">
              <w:t xml:space="preserve">Yes anonymised to a high standard. </w:t>
            </w:r>
          </w:p>
        </w:tc>
        <w:tc>
          <w:tcPr>
            <w:tcW w:w="2126" w:type="dxa"/>
          </w:tcPr>
          <w:p w14:paraId="2137840C" w14:textId="77777777" w:rsidR="001016AB" w:rsidRDefault="001016AB" w:rsidP="005D3C74">
            <w:pPr>
              <w:spacing w:before="120" w:after="120"/>
            </w:pPr>
            <w:r>
              <w:t xml:space="preserve">Maybe or limited information </w:t>
            </w:r>
          </w:p>
        </w:tc>
        <w:tc>
          <w:tcPr>
            <w:tcW w:w="2977" w:type="dxa"/>
          </w:tcPr>
          <w:p w14:paraId="69D17F99" w14:textId="77777777" w:rsidR="001016AB" w:rsidRPr="00674BE7" w:rsidRDefault="001016AB" w:rsidP="005D3C74">
            <w:pPr>
              <w:spacing w:before="120" w:after="120"/>
            </w:pPr>
            <w:r>
              <w:t>Encrypted or remote</w:t>
            </w:r>
            <w:r w:rsidRPr="00674BE7">
              <w:t xml:space="preserve"> deletion possible or ability to determine no access has occurred. </w:t>
            </w:r>
          </w:p>
        </w:tc>
        <w:tc>
          <w:tcPr>
            <w:tcW w:w="5866" w:type="dxa"/>
          </w:tcPr>
          <w:p w14:paraId="2518F61D" w14:textId="77777777" w:rsidR="001016AB" w:rsidRPr="00674BE7" w:rsidRDefault="001016AB" w:rsidP="005D3C7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674BE7">
              <w:rPr>
                <w:rFonts w:cstheme="minorHAnsi"/>
                <w:color w:val="000000"/>
              </w:rPr>
              <w:t xml:space="preserve">Little to no protections or all access restrictions overcome. </w:t>
            </w:r>
          </w:p>
        </w:tc>
      </w:tr>
      <w:tr w:rsidR="001016AB" w14:paraId="54E01C45" w14:textId="77777777" w:rsidTr="0052309B">
        <w:tc>
          <w:tcPr>
            <w:tcW w:w="2122" w:type="dxa"/>
          </w:tcPr>
          <w:p w14:paraId="10F2DE9E" w14:textId="07EA53A0" w:rsidR="001016AB" w:rsidRPr="00674BE7" w:rsidRDefault="008159C6" w:rsidP="005D3C74">
            <w:pPr>
              <w:spacing w:before="120" w:after="120"/>
              <w:rPr>
                <w:b/>
              </w:rPr>
            </w:pPr>
            <w:r>
              <w:rPr>
                <w:b/>
              </w:rPr>
              <w:t>Mitigation s</w:t>
            </w:r>
            <w:r w:rsidR="001016AB">
              <w:rPr>
                <w:b/>
              </w:rPr>
              <w:t xml:space="preserve">trategies </w:t>
            </w:r>
          </w:p>
        </w:tc>
        <w:tc>
          <w:tcPr>
            <w:tcW w:w="2639" w:type="dxa"/>
          </w:tcPr>
          <w:p w14:paraId="50530F57" w14:textId="77777777" w:rsidR="001016AB" w:rsidRPr="00674BE7" w:rsidRDefault="001016AB" w:rsidP="005D3C74">
            <w:pPr>
              <w:spacing w:before="120" w:after="120"/>
            </w:pPr>
            <w:r>
              <w:t>Not required</w:t>
            </w:r>
          </w:p>
        </w:tc>
        <w:tc>
          <w:tcPr>
            <w:tcW w:w="2126" w:type="dxa"/>
          </w:tcPr>
          <w:p w14:paraId="1D80626F" w14:textId="5F98EA9A" w:rsidR="001016AB" w:rsidRDefault="001016AB" w:rsidP="006F2229">
            <w:pPr>
              <w:spacing w:before="120" w:after="120"/>
            </w:pPr>
            <w:r w:rsidRPr="001016AB">
              <w:t xml:space="preserve">Mitigation reduced the effects on </w:t>
            </w:r>
            <w:r w:rsidR="006F2229">
              <w:t>i</w:t>
            </w:r>
            <w:r w:rsidRPr="001016AB">
              <w:t>ndividuals to merely inconvenience.</w:t>
            </w:r>
          </w:p>
        </w:tc>
        <w:tc>
          <w:tcPr>
            <w:tcW w:w="2977" w:type="dxa"/>
          </w:tcPr>
          <w:p w14:paraId="614D1064" w14:textId="77777777" w:rsidR="001016AB" w:rsidRDefault="001016AB" w:rsidP="005D3C74">
            <w:pPr>
              <w:spacing w:before="120" w:after="120"/>
            </w:pPr>
            <w:r>
              <w:t xml:space="preserve">Mitigation strategies were able to prevent or reverse any potential for </w:t>
            </w:r>
            <w:r w:rsidR="00AB6BBC">
              <w:t>high-level</w:t>
            </w:r>
            <w:r>
              <w:t xml:space="preserve"> harm. </w:t>
            </w:r>
          </w:p>
        </w:tc>
        <w:tc>
          <w:tcPr>
            <w:tcW w:w="5866" w:type="dxa"/>
          </w:tcPr>
          <w:p w14:paraId="647AC4E3" w14:textId="77777777" w:rsidR="001016AB" w:rsidRPr="00674BE7" w:rsidRDefault="001016AB" w:rsidP="005D3C7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Mitigation was unsuccessful or ineffective. </w:t>
            </w:r>
          </w:p>
        </w:tc>
      </w:tr>
    </w:tbl>
    <w:p w14:paraId="32994136" w14:textId="77777777" w:rsidR="006029D7" w:rsidRDefault="006029D7" w:rsidP="00906FE5">
      <w:pPr>
        <w:pStyle w:val="Heading1"/>
      </w:pPr>
    </w:p>
    <w:p w14:paraId="6AFF199D" w14:textId="77777777" w:rsidR="006029D7" w:rsidRDefault="006029D7" w:rsidP="00906FE5">
      <w:pPr>
        <w:pStyle w:val="Heading1"/>
      </w:pPr>
    </w:p>
    <w:p w14:paraId="36496344" w14:textId="3C6788FD" w:rsidR="003C3200" w:rsidRDefault="003C3200" w:rsidP="00906FE5">
      <w:pPr>
        <w:pStyle w:val="Heading1"/>
      </w:pPr>
      <w:r w:rsidRPr="003C3200">
        <w:t>Personal/Hea</w:t>
      </w:r>
      <w:r w:rsidR="00C17B59">
        <w:t xml:space="preserve">lth/Sensitive Information Risk </w:t>
      </w:r>
      <w:r w:rsidR="000240D3">
        <w:t>Categories</w:t>
      </w:r>
      <w:r w:rsidRPr="003C3200">
        <w:t xml:space="preserve"> = </w:t>
      </w:r>
    </w:p>
    <w:p w14:paraId="43A98858" w14:textId="59E06BAA" w:rsidR="00CD1D9D" w:rsidRDefault="00CD1D9D" w:rsidP="003C3200">
      <w:pPr>
        <w:rPr>
          <w:b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3964"/>
        <w:gridCol w:w="2835"/>
        <w:gridCol w:w="2835"/>
        <w:gridCol w:w="2835"/>
        <w:gridCol w:w="2694"/>
      </w:tblGrid>
      <w:tr w:rsidR="00CD1D9D" w14:paraId="5E007F42" w14:textId="77777777" w:rsidTr="00CC07F3"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7C648411" w14:textId="77777777" w:rsidR="00CC07F3" w:rsidRDefault="00CD1D9D" w:rsidP="00CC07F3">
            <w:pPr>
              <w:spacing w:before="120" w:after="120"/>
              <w:jc w:val="center"/>
              <w:rPr>
                <w:b/>
              </w:rPr>
            </w:pPr>
            <w:r w:rsidRPr="003F6C93">
              <w:rPr>
                <w:b/>
              </w:rPr>
              <w:t xml:space="preserve">Type of </w:t>
            </w:r>
            <w:r w:rsidR="00CC07F3">
              <w:rPr>
                <w:b/>
              </w:rPr>
              <w:t>Information</w:t>
            </w:r>
          </w:p>
          <w:p w14:paraId="525213F2" w14:textId="39D104D8" w:rsidR="00CD1D9D" w:rsidRDefault="00CC07F3" w:rsidP="00CC07F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(P</w:t>
            </w:r>
            <w:r w:rsidR="00CD1D9D">
              <w:rPr>
                <w:b/>
              </w:rPr>
              <w:t xml:space="preserve">ersonal, </w:t>
            </w:r>
            <w:r>
              <w:rPr>
                <w:b/>
              </w:rPr>
              <w:t>Sensitive, H</w:t>
            </w:r>
            <w:r w:rsidR="00CD1D9D">
              <w:rPr>
                <w:b/>
              </w:rPr>
              <w:t>ealth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1D41F5B" w14:textId="1E9C014D" w:rsidR="00CD1D9D" w:rsidRDefault="00CD1D9D" w:rsidP="00CC07F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Impacts </w:t>
            </w:r>
            <w:r w:rsidRPr="003F6C93">
              <w:rPr>
                <w:b/>
              </w:rPr>
              <w:t>a few individuals</w:t>
            </w:r>
            <w:r w:rsidR="000C051D">
              <w:rPr>
                <w:b/>
              </w:rPr>
              <w:t xml:space="preserve"> (less than 5)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1C3A3E0" w14:textId="68B66174" w:rsidR="00CD1D9D" w:rsidRDefault="00CD1D9D" w:rsidP="00CC07F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Impacts small group</w:t>
            </w:r>
            <w:r w:rsidR="000C051D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9729C98" w14:textId="2F0880E6" w:rsidR="00CD1D9D" w:rsidRDefault="00CD1D9D" w:rsidP="00CC07F3">
            <w:pPr>
              <w:spacing w:before="120" w:after="120"/>
              <w:jc w:val="center"/>
              <w:rPr>
                <w:b/>
              </w:rPr>
            </w:pPr>
            <w:r w:rsidRPr="003F6C93">
              <w:rPr>
                <w:b/>
              </w:rPr>
              <w:t>Affects all staff or whole student body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CEE5359" w14:textId="7445D211" w:rsidR="00CD1D9D" w:rsidRDefault="00CD1D9D" w:rsidP="00CC07F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Entire UNE community/ general public</w:t>
            </w:r>
          </w:p>
        </w:tc>
      </w:tr>
      <w:tr w:rsidR="00CD1D9D" w14:paraId="43B56411" w14:textId="77777777" w:rsidTr="00CC07F3">
        <w:tc>
          <w:tcPr>
            <w:tcW w:w="3964" w:type="dxa"/>
          </w:tcPr>
          <w:p w14:paraId="4B21BAA6" w14:textId="7B3A5BB5" w:rsidR="00906FE5" w:rsidRDefault="00CD1D9D" w:rsidP="00906FE5">
            <w:pPr>
              <w:spacing w:before="120" w:after="120"/>
              <w:rPr>
                <w:b/>
              </w:rPr>
            </w:pPr>
            <w:r w:rsidRPr="003F6C93">
              <w:rPr>
                <w:b/>
              </w:rPr>
              <w:t>Highly sensitive/very high impact</w:t>
            </w:r>
            <w:r w:rsidR="00906FE5">
              <w:rPr>
                <w:b/>
              </w:rPr>
              <w:t>:</w:t>
            </w:r>
          </w:p>
          <w:p w14:paraId="541EDF9E" w14:textId="7EC630BF" w:rsidR="00CD1D9D" w:rsidRDefault="00CD1D9D" w:rsidP="00906FE5">
            <w:pPr>
              <w:spacing w:before="120" w:after="120"/>
              <w:rPr>
                <w:b/>
              </w:rPr>
            </w:pPr>
            <w:r w:rsidRPr="003F6C93">
              <w:t>T</w:t>
            </w:r>
            <w:r w:rsidR="00906FE5">
              <w:t xml:space="preserve">ax </w:t>
            </w:r>
            <w:r w:rsidRPr="003F6C93">
              <w:t>F</w:t>
            </w:r>
            <w:r w:rsidR="00906FE5">
              <w:t xml:space="preserve">ile </w:t>
            </w:r>
            <w:r w:rsidRPr="003F6C93">
              <w:t>N</w:t>
            </w:r>
            <w:r w:rsidR="00906FE5">
              <w:t>umbers</w:t>
            </w:r>
            <w:r>
              <w:t xml:space="preserve">, </w:t>
            </w:r>
            <w:r w:rsidR="00906FE5">
              <w:t>f</w:t>
            </w:r>
            <w:r>
              <w:t xml:space="preserve">inancial information, health information, Union membership, sensitive </w:t>
            </w:r>
            <w:r w:rsidR="00906FE5">
              <w:t xml:space="preserve">personal information </w:t>
            </w:r>
            <w:r>
              <w:t>e.g. sexual preference</w:t>
            </w:r>
            <w:r w:rsidR="00906FE5">
              <w:t>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3F7585AB" w14:textId="5CE5CE89" w:rsidR="00CD1D9D" w:rsidRDefault="00CD1D9D" w:rsidP="00906FE5">
            <w:pPr>
              <w:spacing w:before="120" w:after="120"/>
              <w:jc w:val="center"/>
              <w:rPr>
                <w:b/>
              </w:rPr>
            </w:pPr>
            <w:r w:rsidRPr="00CD1D9D">
              <w:rPr>
                <w:b/>
              </w:rPr>
              <w:t>High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1A95BFB9" w14:textId="77314D69" w:rsidR="00CD1D9D" w:rsidRDefault="00CD1D9D" w:rsidP="00906FE5">
            <w:pPr>
              <w:spacing w:before="120" w:after="120"/>
              <w:jc w:val="center"/>
              <w:rPr>
                <w:b/>
              </w:rPr>
            </w:pPr>
            <w:r w:rsidRPr="00CD1D9D">
              <w:rPr>
                <w:b/>
                <w:color w:val="000000" w:themeColor="text1"/>
              </w:rPr>
              <w:t>Extreme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7DE8E46F" w14:textId="3973A7B6" w:rsidR="00CD1D9D" w:rsidRDefault="00CD1D9D" w:rsidP="00906FE5">
            <w:pPr>
              <w:spacing w:before="120" w:after="120"/>
              <w:jc w:val="center"/>
              <w:rPr>
                <w:b/>
              </w:rPr>
            </w:pPr>
            <w:r w:rsidRPr="00CD1D9D">
              <w:rPr>
                <w:b/>
                <w:color w:val="000000" w:themeColor="text1"/>
              </w:rPr>
              <w:t>Extreme</w:t>
            </w:r>
          </w:p>
        </w:tc>
        <w:tc>
          <w:tcPr>
            <w:tcW w:w="2694" w:type="dxa"/>
            <w:shd w:val="clear" w:color="auto" w:fill="FF0000"/>
            <w:vAlign w:val="center"/>
          </w:tcPr>
          <w:p w14:paraId="6A907A6C" w14:textId="24F5C09E" w:rsidR="00CD1D9D" w:rsidRDefault="00CD1D9D" w:rsidP="00906FE5">
            <w:pPr>
              <w:spacing w:before="120" w:after="120"/>
              <w:jc w:val="center"/>
              <w:rPr>
                <w:b/>
              </w:rPr>
            </w:pPr>
            <w:r w:rsidRPr="00CD1D9D">
              <w:rPr>
                <w:b/>
                <w:color w:val="000000" w:themeColor="text1"/>
              </w:rPr>
              <w:t>Extreme</w:t>
            </w:r>
          </w:p>
        </w:tc>
      </w:tr>
      <w:tr w:rsidR="00CD1D9D" w14:paraId="49216FA3" w14:textId="77777777" w:rsidTr="00CC07F3">
        <w:tc>
          <w:tcPr>
            <w:tcW w:w="3964" w:type="dxa"/>
          </w:tcPr>
          <w:p w14:paraId="015A56BE" w14:textId="48C27627" w:rsidR="00906FE5" w:rsidRDefault="00906FE5" w:rsidP="00906FE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Multiple </w:t>
            </w:r>
            <w:r w:rsidR="00CD1D9D" w:rsidRPr="003F6C93">
              <w:rPr>
                <w:b/>
              </w:rPr>
              <w:t xml:space="preserve">fields of lower level sensitivity </w:t>
            </w:r>
            <w:r w:rsidR="00CD1D9D">
              <w:rPr>
                <w:b/>
              </w:rPr>
              <w:t>which can be used to create a detailed profile</w:t>
            </w:r>
            <w:r>
              <w:rPr>
                <w:b/>
              </w:rPr>
              <w:t>:</w:t>
            </w:r>
          </w:p>
          <w:p w14:paraId="20CCAA0F" w14:textId="11337506" w:rsidR="00CD1D9D" w:rsidRDefault="00CD1D9D" w:rsidP="00906FE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  <w:r w:rsidR="00906FE5">
              <w:t xml:space="preserve">For </w:t>
            </w:r>
            <w:proofErr w:type="gramStart"/>
            <w:r w:rsidR="00906FE5">
              <w:t>example</w:t>
            </w:r>
            <w:proofErr w:type="gramEnd"/>
            <w:r w:rsidRPr="00D3124C">
              <w:t xml:space="preserve"> name, D.O.B, contact information, unit and course enrolment, gender, home address.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66A4B8AB" w14:textId="1FC4BE2C" w:rsidR="00CD1D9D" w:rsidRDefault="00CD1D9D" w:rsidP="00906FE5">
            <w:pPr>
              <w:spacing w:before="120" w:after="120"/>
              <w:jc w:val="center"/>
              <w:rPr>
                <w:b/>
              </w:rPr>
            </w:pPr>
            <w:r w:rsidRPr="00CD1D9D">
              <w:rPr>
                <w:b/>
              </w:rPr>
              <w:t>Medium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584D734D" w14:textId="59C04E29" w:rsidR="00CD1D9D" w:rsidRDefault="00CD1D9D" w:rsidP="00906FE5">
            <w:pPr>
              <w:spacing w:before="120" w:after="120"/>
              <w:jc w:val="center"/>
              <w:rPr>
                <w:b/>
              </w:rPr>
            </w:pPr>
            <w:r w:rsidRPr="00CD1D9D">
              <w:rPr>
                <w:b/>
              </w:rPr>
              <w:t>High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2E4D427E" w14:textId="4183733B" w:rsidR="00CD1D9D" w:rsidRDefault="00CD1D9D" w:rsidP="00906FE5">
            <w:pPr>
              <w:spacing w:before="120" w:after="120"/>
              <w:jc w:val="center"/>
              <w:rPr>
                <w:b/>
              </w:rPr>
            </w:pPr>
            <w:r w:rsidRPr="00CD1D9D">
              <w:rPr>
                <w:b/>
              </w:rPr>
              <w:t>High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64FC965E" w14:textId="6AE86D55" w:rsidR="00CD1D9D" w:rsidRDefault="00CD1D9D" w:rsidP="00906FE5">
            <w:pPr>
              <w:spacing w:before="120" w:after="120"/>
              <w:jc w:val="center"/>
              <w:rPr>
                <w:b/>
              </w:rPr>
            </w:pPr>
            <w:r w:rsidRPr="00CD1D9D">
              <w:rPr>
                <w:b/>
              </w:rPr>
              <w:t>High</w:t>
            </w:r>
          </w:p>
        </w:tc>
      </w:tr>
      <w:tr w:rsidR="00CD1D9D" w14:paraId="4DADD95A" w14:textId="77777777" w:rsidTr="00CC07F3">
        <w:tc>
          <w:tcPr>
            <w:tcW w:w="3964" w:type="dxa"/>
          </w:tcPr>
          <w:p w14:paraId="25606340" w14:textId="77777777" w:rsidR="00906FE5" w:rsidRDefault="00CD1D9D" w:rsidP="00906FE5">
            <w:pPr>
              <w:spacing w:before="120" w:after="120"/>
              <w:rPr>
                <w:b/>
              </w:rPr>
            </w:pPr>
            <w:r w:rsidRPr="003F6C93">
              <w:rPr>
                <w:b/>
              </w:rPr>
              <w:t>Limited P</w:t>
            </w:r>
            <w:r w:rsidR="00906FE5">
              <w:rPr>
                <w:b/>
              </w:rPr>
              <w:t xml:space="preserve">ersonal </w:t>
            </w:r>
            <w:r w:rsidRPr="003F6C93">
              <w:rPr>
                <w:b/>
              </w:rPr>
              <w:t>I</w:t>
            </w:r>
            <w:r w:rsidR="00906FE5">
              <w:rPr>
                <w:b/>
              </w:rPr>
              <w:t>nformation:</w:t>
            </w:r>
          </w:p>
          <w:p w14:paraId="0E2FED62" w14:textId="7F30D7DF" w:rsidR="00CD1D9D" w:rsidRPr="00906FE5" w:rsidRDefault="00906FE5" w:rsidP="00906FE5">
            <w:pPr>
              <w:spacing w:before="120" w:after="120"/>
            </w:pPr>
            <w:r>
              <w:t>N</w:t>
            </w:r>
            <w:r w:rsidR="00CD1D9D" w:rsidRPr="00906FE5">
              <w:t>ame or student number (isolated</w:t>
            </w:r>
            <w:r>
              <w:t xml:space="preserve"> personal information fie</w:t>
            </w:r>
            <w:r w:rsidR="00CD1D9D" w:rsidRPr="00906FE5">
              <w:t>lds), internal identifiers</w:t>
            </w:r>
          </w:p>
          <w:p w14:paraId="22C491BD" w14:textId="5FB275C8" w:rsidR="00CD1D9D" w:rsidRDefault="00CD1D9D" w:rsidP="00906FE5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14:paraId="6A17CB1C" w14:textId="54767006" w:rsidR="00CD1D9D" w:rsidRDefault="00CD1D9D" w:rsidP="00906FE5">
            <w:pPr>
              <w:spacing w:before="120" w:after="120"/>
              <w:jc w:val="center"/>
              <w:rPr>
                <w:b/>
              </w:rPr>
            </w:pPr>
            <w:r w:rsidRPr="00CD1D9D">
              <w:rPr>
                <w:b/>
              </w:rPr>
              <w:t>Low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2DD7EE01" w14:textId="5EB46A9F" w:rsidR="00CD1D9D" w:rsidRDefault="00CD1D9D" w:rsidP="00906FE5">
            <w:pPr>
              <w:spacing w:before="120" w:after="120"/>
              <w:jc w:val="center"/>
              <w:rPr>
                <w:b/>
              </w:rPr>
            </w:pPr>
            <w:r w:rsidRPr="00CD1D9D">
              <w:rPr>
                <w:b/>
              </w:rPr>
              <w:t>Low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4FD2675E" w14:textId="4A6B4ACD" w:rsidR="00CD1D9D" w:rsidRDefault="00CD1D9D" w:rsidP="00906FE5">
            <w:pPr>
              <w:spacing w:before="120" w:after="120"/>
              <w:jc w:val="center"/>
              <w:rPr>
                <w:b/>
              </w:rPr>
            </w:pPr>
            <w:r w:rsidRPr="00CD1D9D">
              <w:rPr>
                <w:b/>
              </w:rPr>
              <w:t>Medium</w:t>
            </w:r>
          </w:p>
        </w:tc>
        <w:tc>
          <w:tcPr>
            <w:tcW w:w="2694" w:type="dxa"/>
            <w:shd w:val="clear" w:color="auto" w:fill="FFFF00"/>
            <w:vAlign w:val="center"/>
          </w:tcPr>
          <w:p w14:paraId="55D4542B" w14:textId="112169AD" w:rsidR="00CD1D9D" w:rsidRDefault="00CD1D9D" w:rsidP="00906FE5">
            <w:pPr>
              <w:spacing w:before="120" w:after="120"/>
              <w:jc w:val="center"/>
              <w:rPr>
                <w:b/>
              </w:rPr>
            </w:pPr>
            <w:r w:rsidRPr="00CD1D9D">
              <w:rPr>
                <w:b/>
              </w:rPr>
              <w:t>Medium</w:t>
            </w:r>
          </w:p>
        </w:tc>
      </w:tr>
      <w:tr w:rsidR="00CD1D9D" w14:paraId="415D3F28" w14:textId="77777777" w:rsidTr="00CC07F3">
        <w:tc>
          <w:tcPr>
            <w:tcW w:w="3964" w:type="dxa"/>
          </w:tcPr>
          <w:p w14:paraId="450AF6F5" w14:textId="77777777" w:rsidR="00CD1D9D" w:rsidRDefault="00CD1D9D" w:rsidP="00906FE5">
            <w:pPr>
              <w:spacing w:before="120" w:after="120"/>
              <w:rPr>
                <w:b/>
              </w:rPr>
            </w:pPr>
            <w:r w:rsidRPr="003F6C93">
              <w:rPr>
                <w:b/>
              </w:rPr>
              <w:t>Publically available information</w:t>
            </w:r>
          </w:p>
          <w:p w14:paraId="30C18F61" w14:textId="77777777" w:rsidR="00CD1D9D" w:rsidRDefault="00CD1D9D" w:rsidP="00906FE5">
            <w:pPr>
              <w:spacing w:before="120" w:after="120"/>
              <w:rPr>
                <w:b/>
              </w:rPr>
            </w:pPr>
          </w:p>
          <w:p w14:paraId="21782278" w14:textId="0CA6593A" w:rsidR="00CD1D9D" w:rsidRDefault="00CD1D9D" w:rsidP="00906FE5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18CF2818" w14:textId="49DFC519" w:rsidR="00CD1D9D" w:rsidRDefault="00CD1D9D" w:rsidP="00906FE5">
            <w:pPr>
              <w:spacing w:before="120" w:after="120"/>
              <w:jc w:val="center"/>
              <w:rPr>
                <w:b/>
              </w:rPr>
            </w:pPr>
            <w:r w:rsidRPr="00CD1D9D">
              <w:rPr>
                <w:b/>
              </w:rPr>
              <w:t>Very Low</w:t>
            </w:r>
          </w:p>
        </w:tc>
        <w:tc>
          <w:tcPr>
            <w:tcW w:w="2835" w:type="dxa"/>
            <w:shd w:val="clear" w:color="auto" w:fill="00B0F0"/>
            <w:vAlign w:val="center"/>
          </w:tcPr>
          <w:p w14:paraId="5E41D3AB" w14:textId="28993337" w:rsidR="00CD1D9D" w:rsidRDefault="00CD1D9D" w:rsidP="00906FE5">
            <w:pPr>
              <w:spacing w:before="120" w:after="120"/>
              <w:jc w:val="center"/>
              <w:rPr>
                <w:b/>
              </w:rPr>
            </w:pPr>
            <w:r w:rsidRPr="00CD1D9D">
              <w:rPr>
                <w:b/>
              </w:rPr>
              <w:t>Very Low</w:t>
            </w:r>
          </w:p>
        </w:tc>
        <w:tc>
          <w:tcPr>
            <w:tcW w:w="2835" w:type="dxa"/>
            <w:shd w:val="clear" w:color="auto" w:fill="00B0F0"/>
            <w:vAlign w:val="center"/>
          </w:tcPr>
          <w:p w14:paraId="1E6234BE" w14:textId="184E845F" w:rsidR="00CD1D9D" w:rsidRDefault="00CD1D9D" w:rsidP="00906FE5">
            <w:pPr>
              <w:spacing w:before="120" w:after="120"/>
              <w:jc w:val="center"/>
              <w:rPr>
                <w:b/>
              </w:rPr>
            </w:pPr>
            <w:r w:rsidRPr="00CD1D9D">
              <w:rPr>
                <w:b/>
              </w:rPr>
              <w:t>Very Low</w:t>
            </w:r>
          </w:p>
        </w:tc>
        <w:tc>
          <w:tcPr>
            <w:tcW w:w="2694" w:type="dxa"/>
            <w:shd w:val="clear" w:color="auto" w:fill="00B0F0"/>
            <w:vAlign w:val="center"/>
          </w:tcPr>
          <w:p w14:paraId="388E2CE6" w14:textId="1738FD9E" w:rsidR="00CD1D9D" w:rsidRDefault="00CD1D9D" w:rsidP="00906FE5">
            <w:pPr>
              <w:spacing w:before="120" w:after="120"/>
              <w:jc w:val="center"/>
              <w:rPr>
                <w:b/>
              </w:rPr>
            </w:pPr>
            <w:r w:rsidRPr="00CD1D9D">
              <w:rPr>
                <w:b/>
              </w:rPr>
              <w:t>Very Low</w:t>
            </w:r>
          </w:p>
        </w:tc>
      </w:tr>
    </w:tbl>
    <w:p w14:paraId="17C74A8F" w14:textId="64B01241" w:rsidR="0084220F" w:rsidRDefault="00C554F3" w:rsidP="007449C8">
      <w:pPr>
        <w:pStyle w:val="Heading1"/>
      </w:pPr>
      <w:r w:rsidRPr="003C3200">
        <w:lastRenderedPageBreak/>
        <w:t xml:space="preserve">Harm </w:t>
      </w:r>
      <w:r w:rsidR="006B43EF" w:rsidRPr="003C3200">
        <w:t>Action Table</w:t>
      </w:r>
      <w:r w:rsidR="003C3200" w:rsidRPr="003C3200">
        <w:t xml:space="preserve"> Harm = Risk +</w:t>
      </w:r>
      <w:r w:rsidR="003C3200">
        <w:t xml:space="preserve"> </w:t>
      </w:r>
      <w:r w:rsidR="003C3200" w:rsidRPr="003C3200">
        <w:t>Harm ratings</w:t>
      </w:r>
    </w:p>
    <w:p w14:paraId="51B93981" w14:textId="49DFE74C" w:rsidR="00016D19" w:rsidRDefault="00016D19" w:rsidP="0084220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1958"/>
        <w:gridCol w:w="2835"/>
        <w:gridCol w:w="2126"/>
        <w:gridCol w:w="2410"/>
        <w:gridCol w:w="3099"/>
        <w:gridCol w:w="2229"/>
      </w:tblGrid>
      <w:tr w:rsidR="00AC2512" w14:paraId="37EC4BC7" w14:textId="77777777" w:rsidTr="00AC2512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1BB0E3CF" w14:textId="77777777" w:rsidR="00AC2512" w:rsidRPr="00016D19" w:rsidRDefault="00AC2512" w:rsidP="00016D1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D5B56F" w14:textId="0D9B58F8" w:rsidR="00AC2512" w:rsidRPr="00016D19" w:rsidRDefault="00AC2512" w:rsidP="00016D1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699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9C86CD" w14:textId="221F14A1" w:rsidR="00AC2512" w:rsidRPr="00016D19" w:rsidRDefault="00AC2512" w:rsidP="00016D1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Chance of Harm</w:t>
            </w:r>
          </w:p>
        </w:tc>
      </w:tr>
      <w:tr w:rsidR="00AC2512" w14:paraId="314D31C8" w14:textId="77777777" w:rsidTr="00AC2512"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99DBC" w14:textId="28AC86FD" w:rsidR="00AC2512" w:rsidRPr="00016D19" w:rsidRDefault="00AC2512" w:rsidP="00AC2512">
            <w:pPr>
              <w:spacing w:before="120" w:after="120"/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19BF" w14:textId="6C203B23" w:rsidR="00AC2512" w:rsidRPr="00016D19" w:rsidRDefault="00AC2512" w:rsidP="00AC251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E0B017" w14:textId="2759BE93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 w:rsidRPr="00016D19">
              <w:rPr>
                <w:b/>
              </w:rPr>
              <w:t>Rare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1D05E5D" w14:textId="2CA951F2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 w:rsidRPr="00016D19">
              <w:rPr>
                <w:b/>
              </w:rPr>
              <w:t>Unlikely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1C0E0DE" w14:textId="0AE17E59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 w:rsidRPr="00016D19">
              <w:rPr>
                <w:b/>
              </w:rPr>
              <w:t xml:space="preserve">Possible or likely &amp; </w:t>
            </w:r>
            <w:r w:rsidRPr="00016D19">
              <w:rPr>
                <w:b/>
                <w:shd w:val="clear" w:color="auto" w:fill="BFBFBF" w:themeFill="background1" w:themeFillShade="BF"/>
              </w:rPr>
              <w:t>probable h</w:t>
            </w:r>
            <w:r w:rsidRPr="00016D19">
              <w:rPr>
                <w:b/>
              </w:rPr>
              <w:t>arm which is Mitigated</w:t>
            </w:r>
          </w:p>
        </w:tc>
        <w:tc>
          <w:tcPr>
            <w:tcW w:w="3099" w:type="dxa"/>
            <w:shd w:val="clear" w:color="auto" w:fill="BFBFBF" w:themeFill="background1" w:themeFillShade="BF"/>
            <w:vAlign w:val="center"/>
          </w:tcPr>
          <w:p w14:paraId="7F7F5845" w14:textId="76B97F49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 w:rsidRPr="00016D19">
              <w:rPr>
                <w:b/>
              </w:rPr>
              <w:t>Likely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14:paraId="536A550A" w14:textId="59481B84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 w:rsidRPr="00016D19">
              <w:rPr>
                <w:b/>
              </w:rPr>
              <w:t>Probable</w:t>
            </w:r>
          </w:p>
        </w:tc>
      </w:tr>
      <w:tr w:rsidR="00AC2512" w14:paraId="5D0F98D5" w14:textId="77777777" w:rsidTr="00AC2512">
        <w:trPr>
          <w:cantSplit/>
          <w:trHeight w:val="1134"/>
        </w:trPr>
        <w:tc>
          <w:tcPr>
            <w:tcW w:w="73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84320DF" w14:textId="7A46587E" w:rsidR="00AC2512" w:rsidRDefault="00AC2512" w:rsidP="00AC2512">
            <w:pPr>
              <w:spacing w:before="120" w:after="1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of Harm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7B94A1" w14:textId="5974FE0D" w:rsidR="00AC2512" w:rsidRPr="00016D19" w:rsidRDefault="00AC2512" w:rsidP="00016D1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Extreme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1501CF90" w14:textId="18378221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>
              <w:t xml:space="preserve">SIMT/Privacy Officer  – Report to </w:t>
            </w:r>
            <w:r w:rsidRPr="00016D19">
              <w:rPr>
                <w:shd w:val="clear" w:color="auto" w:fill="FFFF00"/>
              </w:rPr>
              <w:t>DG and SET within 6</w:t>
            </w:r>
            <w:r>
              <w:t xml:space="preserve"> months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01849086" w14:textId="45551392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>
              <w:t>SIMT/Privacy Officer  – Report to DG and Set within 3 months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55A9038D" w14:textId="0B2D2E90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 w:rsidRPr="006B43EF">
              <w:t>SIMT</w:t>
            </w:r>
            <w:r>
              <w:t>/ Privacy Officer</w:t>
            </w:r>
            <w:r w:rsidRPr="006B43EF">
              <w:t xml:space="preserve"> – Report to DG and Set within 3 months</w:t>
            </w:r>
          </w:p>
        </w:tc>
        <w:tc>
          <w:tcPr>
            <w:tcW w:w="3099" w:type="dxa"/>
            <w:shd w:val="clear" w:color="auto" w:fill="FF0000"/>
            <w:vAlign w:val="center"/>
          </w:tcPr>
          <w:p w14:paraId="4FFA0BC5" w14:textId="5F5FF83E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>
              <w:t>DBMT  - R</w:t>
            </w:r>
            <w:r w:rsidRPr="00016D19">
              <w:rPr>
                <w:shd w:val="clear" w:color="auto" w:fill="FF0000"/>
              </w:rPr>
              <w:t>ep</w:t>
            </w:r>
            <w:r>
              <w:t>ort to Set and Council within 1 month notifiy VC immediately</w:t>
            </w:r>
          </w:p>
        </w:tc>
        <w:tc>
          <w:tcPr>
            <w:tcW w:w="2229" w:type="dxa"/>
            <w:shd w:val="clear" w:color="auto" w:fill="FF0000"/>
            <w:vAlign w:val="center"/>
          </w:tcPr>
          <w:p w14:paraId="46A257D0" w14:textId="7FC3499F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>
              <w:t>DBM</w:t>
            </w:r>
            <w:r w:rsidRPr="006B43EF">
              <w:t>T  - Report to Set and Co</w:t>
            </w:r>
            <w:r>
              <w:t>u</w:t>
            </w:r>
            <w:r w:rsidRPr="006B43EF">
              <w:t>ncil within 1 month notifiy VC immediately</w:t>
            </w:r>
          </w:p>
        </w:tc>
      </w:tr>
      <w:tr w:rsidR="00AC2512" w14:paraId="6408E59F" w14:textId="77777777" w:rsidTr="00AC2512">
        <w:tc>
          <w:tcPr>
            <w:tcW w:w="731" w:type="dxa"/>
            <w:vMerge/>
            <w:shd w:val="clear" w:color="auto" w:fill="BFBFBF" w:themeFill="background1" w:themeFillShade="BF"/>
          </w:tcPr>
          <w:p w14:paraId="372B7121" w14:textId="77777777" w:rsidR="00AC2512" w:rsidRDefault="00AC2512" w:rsidP="00016D1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  <w:vAlign w:val="center"/>
          </w:tcPr>
          <w:p w14:paraId="3A670E27" w14:textId="4250F749" w:rsidR="00AC2512" w:rsidRPr="00016D19" w:rsidRDefault="00AC2512" w:rsidP="00016D1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High 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1E96C1CA" w14:textId="01EC5692" w:rsidR="00AC2512" w:rsidRDefault="00AC2512" w:rsidP="00016D19">
            <w:pPr>
              <w:jc w:val="center"/>
              <w:rPr>
                <w:b/>
              </w:rPr>
            </w:pPr>
            <w:r>
              <w:t xml:space="preserve">SIMT/ Privacy Officer </w:t>
            </w:r>
            <w:r w:rsidRPr="00A26AE6">
              <w:t>– Report to DG and Set within 6 months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18953123" w14:textId="62C1D19D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>
              <w:t xml:space="preserve">SIMT/Privacy Officer </w:t>
            </w:r>
            <w:r w:rsidRPr="00A26AE6">
              <w:t>– Report to DG and Set within 6 months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2E8ABB85" w14:textId="4093652E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 w:rsidRPr="00A26AE6">
              <w:t>SIMT</w:t>
            </w:r>
            <w:r>
              <w:t>/Privacy Officer</w:t>
            </w:r>
            <w:r w:rsidRPr="00A26AE6">
              <w:t xml:space="preserve"> </w:t>
            </w:r>
            <w:r>
              <w:t xml:space="preserve">– Report to DG and Set within 3 </w:t>
            </w:r>
            <w:r w:rsidRPr="00A26AE6">
              <w:t>months</w:t>
            </w:r>
          </w:p>
        </w:tc>
        <w:tc>
          <w:tcPr>
            <w:tcW w:w="3099" w:type="dxa"/>
            <w:shd w:val="clear" w:color="auto" w:fill="FFC000"/>
            <w:vAlign w:val="center"/>
          </w:tcPr>
          <w:p w14:paraId="1B48B2D0" w14:textId="719D6AD4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 w:rsidRPr="00A26AE6">
              <w:t>SIMT</w:t>
            </w:r>
            <w:r>
              <w:t>/Privacy Officer</w:t>
            </w:r>
            <w:r w:rsidRPr="00A26AE6">
              <w:t xml:space="preserve"> – Report to DG and Set within 3 months</w:t>
            </w:r>
          </w:p>
        </w:tc>
        <w:tc>
          <w:tcPr>
            <w:tcW w:w="2229" w:type="dxa"/>
            <w:shd w:val="clear" w:color="auto" w:fill="FF0000"/>
            <w:vAlign w:val="center"/>
          </w:tcPr>
          <w:p w14:paraId="4F0092B4" w14:textId="3F182E0B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 w:rsidRPr="00A26AE6">
              <w:t>DBMT  - Report to Set and Council within 1 month notifiy VC immediately</w:t>
            </w:r>
          </w:p>
        </w:tc>
      </w:tr>
      <w:tr w:rsidR="00AC2512" w14:paraId="324B2FA3" w14:textId="77777777" w:rsidTr="00AC2512">
        <w:tc>
          <w:tcPr>
            <w:tcW w:w="731" w:type="dxa"/>
            <w:vMerge/>
            <w:shd w:val="clear" w:color="auto" w:fill="BFBFBF" w:themeFill="background1" w:themeFillShade="BF"/>
          </w:tcPr>
          <w:p w14:paraId="45D57FA1" w14:textId="77777777" w:rsidR="00AC2512" w:rsidRDefault="00AC2512" w:rsidP="00016D1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  <w:vAlign w:val="center"/>
          </w:tcPr>
          <w:p w14:paraId="445DE39F" w14:textId="189FCF04" w:rsidR="00AC2512" w:rsidRPr="00016D19" w:rsidRDefault="00AC2512" w:rsidP="00016D1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Medium 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60F222F3" w14:textId="6BDCB236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>
              <w:t>Privacy Officer/IT Security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4433BC76" w14:textId="0AA54527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 w:rsidRPr="006B43EF">
              <w:t>SIMT</w:t>
            </w:r>
            <w:r>
              <w:t>/Privacy Officer – Report to DG and Set within 6</w:t>
            </w:r>
            <w:r w:rsidRPr="006B43EF">
              <w:t xml:space="preserve"> months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0FD1E232" w14:textId="695A9CFD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 w:rsidRPr="006B43EF">
              <w:t>SIMT</w:t>
            </w:r>
            <w:r>
              <w:t>/Privacy Officer</w:t>
            </w:r>
            <w:r w:rsidRPr="006B43EF">
              <w:t xml:space="preserve"> – Report to DG and Set withi</w:t>
            </w:r>
            <w:r>
              <w:t xml:space="preserve">n 6 </w:t>
            </w:r>
            <w:r w:rsidRPr="006B43EF">
              <w:t>months</w:t>
            </w:r>
          </w:p>
        </w:tc>
        <w:tc>
          <w:tcPr>
            <w:tcW w:w="3099" w:type="dxa"/>
            <w:shd w:val="clear" w:color="auto" w:fill="FFC000"/>
            <w:vAlign w:val="center"/>
          </w:tcPr>
          <w:p w14:paraId="01DF5E27" w14:textId="694FEA82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 w:rsidRPr="006B43EF">
              <w:t>SIMT</w:t>
            </w:r>
            <w:r>
              <w:t>/Privacy Officer</w:t>
            </w:r>
            <w:r w:rsidRPr="006B43EF">
              <w:t xml:space="preserve"> – Report to DG and Set within 3 months</w:t>
            </w:r>
          </w:p>
        </w:tc>
        <w:tc>
          <w:tcPr>
            <w:tcW w:w="2229" w:type="dxa"/>
            <w:shd w:val="clear" w:color="auto" w:fill="FFC000"/>
            <w:vAlign w:val="center"/>
          </w:tcPr>
          <w:p w14:paraId="712BA44E" w14:textId="39E47167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 w:rsidRPr="00A26AE6">
              <w:t>SIMT</w:t>
            </w:r>
            <w:r w:rsidRPr="008C1446">
              <w:t>/Privacy Officer</w:t>
            </w:r>
            <w:r w:rsidRPr="00A26AE6">
              <w:t xml:space="preserve"> – Report to DG and Set within 3 months</w:t>
            </w:r>
          </w:p>
        </w:tc>
      </w:tr>
      <w:tr w:rsidR="00AC2512" w14:paraId="39261D62" w14:textId="77777777" w:rsidTr="00AC2512">
        <w:tc>
          <w:tcPr>
            <w:tcW w:w="731" w:type="dxa"/>
            <w:vMerge/>
            <w:shd w:val="clear" w:color="auto" w:fill="BFBFBF" w:themeFill="background1" w:themeFillShade="BF"/>
          </w:tcPr>
          <w:p w14:paraId="29610D2E" w14:textId="77777777" w:rsidR="00AC2512" w:rsidRPr="00016D19" w:rsidRDefault="00AC2512" w:rsidP="00016D1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  <w:vAlign w:val="center"/>
          </w:tcPr>
          <w:p w14:paraId="25536CD4" w14:textId="2A8E1FA7" w:rsidR="00AC2512" w:rsidRPr="00016D19" w:rsidRDefault="00AC2512" w:rsidP="00016D19">
            <w:pPr>
              <w:spacing w:before="120" w:after="120"/>
              <w:jc w:val="center"/>
              <w:rPr>
                <w:b/>
              </w:rPr>
            </w:pPr>
            <w:r w:rsidRPr="00016D19">
              <w:rPr>
                <w:b/>
              </w:rPr>
              <w:t>Low/Negligible</w:t>
            </w:r>
          </w:p>
        </w:tc>
        <w:tc>
          <w:tcPr>
            <w:tcW w:w="2835" w:type="dxa"/>
            <w:shd w:val="clear" w:color="auto" w:fill="00B0F0"/>
            <w:vAlign w:val="center"/>
          </w:tcPr>
          <w:p w14:paraId="0C82D0BE" w14:textId="0BDF5B6E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>
              <w:t>Privacy Officer/IT Security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118EC6B1" w14:textId="12C34ABA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>
              <w:t>Privacy Officer/</w:t>
            </w:r>
            <w:r w:rsidRPr="00C554F3">
              <w:t>IT Security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2D693A96" w14:textId="69168B26" w:rsidR="00AC2512" w:rsidRDefault="00AC2512" w:rsidP="00016D19">
            <w:pPr>
              <w:spacing w:before="120" w:after="120"/>
              <w:jc w:val="center"/>
              <w:rPr>
                <w:b/>
              </w:rPr>
            </w:pPr>
            <w:r w:rsidRPr="00C554F3">
              <w:t>Privacy Officer</w:t>
            </w:r>
            <w:r>
              <w:t>/</w:t>
            </w:r>
            <w:r w:rsidRPr="00C554F3">
              <w:t xml:space="preserve"> IT Security</w:t>
            </w:r>
          </w:p>
        </w:tc>
        <w:tc>
          <w:tcPr>
            <w:tcW w:w="3099" w:type="dxa"/>
            <w:shd w:val="clear" w:color="auto" w:fill="FFFF00"/>
            <w:vAlign w:val="center"/>
          </w:tcPr>
          <w:p w14:paraId="38F94E81" w14:textId="5B8D3665" w:rsidR="00AC2512" w:rsidRDefault="00AC2512" w:rsidP="006029D7">
            <w:pPr>
              <w:spacing w:before="120" w:after="120"/>
              <w:jc w:val="center"/>
              <w:rPr>
                <w:b/>
              </w:rPr>
            </w:pPr>
            <w:r w:rsidRPr="00E76C4A">
              <w:rPr>
                <w:highlight w:val="yellow"/>
              </w:rPr>
              <w:t>SIMT</w:t>
            </w:r>
            <w:r w:rsidRPr="008C1446">
              <w:rPr>
                <w:highlight w:val="yellow"/>
              </w:rPr>
              <w:t>/Privacy Officer</w:t>
            </w:r>
            <w:r w:rsidRPr="00E76C4A">
              <w:rPr>
                <w:highlight w:val="yellow"/>
              </w:rPr>
              <w:t xml:space="preserve"> Report to DG </w:t>
            </w:r>
            <w:r>
              <w:t>and Set within 6 months</w:t>
            </w:r>
          </w:p>
        </w:tc>
        <w:tc>
          <w:tcPr>
            <w:tcW w:w="2229" w:type="dxa"/>
            <w:shd w:val="clear" w:color="auto" w:fill="FFFF00"/>
            <w:vAlign w:val="center"/>
          </w:tcPr>
          <w:p w14:paraId="4F4585AD" w14:textId="2149591A" w:rsidR="00AC2512" w:rsidRDefault="00AC2512" w:rsidP="006029D7">
            <w:pPr>
              <w:spacing w:before="120" w:after="120"/>
              <w:jc w:val="center"/>
              <w:rPr>
                <w:b/>
              </w:rPr>
            </w:pPr>
            <w:r w:rsidRPr="00E76C4A">
              <w:rPr>
                <w:highlight w:val="yellow"/>
              </w:rPr>
              <w:t>SIMT</w:t>
            </w:r>
            <w:r w:rsidRPr="008C1446">
              <w:rPr>
                <w:highlight w:val="yellow"/>
              </w:rPr>
              <w:t>/Privacy Officer</w:t>
            </w:r>
            <w:r w:rsidRPr="00E76C4A">
              <w:rPr>
                <w:highlight w:val="yellow"/>
              </w:rPr>
              <w:t xml:space="preserve"> Report to DG</w:t>
            </w:r>
            <w:r>
              <w:t xml:space="preserve"> and Set within 6 months</w:t>
            </w:r>
          </w:p>
        </w:tc>
      </w:tr>
    </w:tbl>
    <w:p w14:paraId="0FA1F4C1" w14:textId="41981722" w:rsidR="006B43EF" w:rsidRPr="005B65E3" w:rsidRDefault="006B43EF" w:rsidP="0084220F">
      <w:pPr>
        <w:rPr>
          <w:sz w:val="18"/>
          <w:szCs w:val="18"/>
        </w:rPr>
      </w:pPr>
    </w:p>
    <w:p w14:paraId="5337496F" w14:textId="77777777" w:rsidR="00EA7690" w:rsidRPr="005B65E3" w:rsidRDefault="00EA7690" w:rsidP="00016D19">
      <w:pPr>
        <w:pStyle w:val="Clause"/>
        <w:numPr>
          <w:ilvl w:val="0"/>
          <w:numId w:val="0"/>
        </w:numPr>
        <w:rPr>
          <w:rFonts w:asciiTheme="minorHAnsi" w:hAnsiTheme="minorHAnsi" w:cstheme="minorHAnsi"/>
          <w:sz w:val="18"/>
          <w:szCs w:val="18"/>
        </w:rPr>
      </w:pPr>
      <w:r w:rsidRPr="005B65E3">
        <w:rPr>
          <w:rFonts w:asciiTheme="minorHAnsi" w:hAnsiTheme="minorHAnsi" w:cstheme="minorHAnsi"/>
          <w:sz w:val="18"/>
          <w:szCs w:val="18"/>
        </w:rPr>
        <w:t xml:space="preserve">Where breaches do not include technology the Privacy Officer in collaboration with expert colleagues </w:t>
      </w:r>
      <w:r w:rsidR="000A34D5" w:rsidRPr="005B65E3">
        <w:rPr>
          <w:rFonts w:asciiTheme="minorHAnsi" w:hAnsiTheme="minorHAnsi" w:cstheme="minorHAnsi"/>
          <w:sz w:val="18"/>
          <w:szCs w:val="18"/>
        </w:rPr>
        <w:t>(</w:t>
      </w:r>
      <w:r w:rsidRPr="005B65E3">
        <w:rPr>
          <w:rFonts w:asciiTheme="minorHAnsi" w:hAnsiTheme="minorHAnsi" w:cstheme="minorHAnsi"/>
          <w:sz w:val="18"/>
          <w:szCs w:val="18"/>
        </w:rPr>
        <w:t>as required</w:t>
      </w:r>
      <w:r w:rsidR="000A34D5" w:rsidRPr="005B65E3">
        <w:rPr>
          <w:rFonts w:asciiTheme="minorHAnsi" w:hAnsiTheme="minorHAnsi" w:cstheme="minorHAnsi"/>
          <w:sz w:val="18"/>
          <w:szCs w:val="18"/>
        </w:rPr>
        <w:t>)</w:t>
      </w:r>
      <w:r w:rsidRPr="005B65E3">
        <w:rPr>
          <w:rFonts w:asciiTheme="minorHAnsi" w:hAnsiTheme="minorHAnsi" w:cstheme="minorHAnsi"/>
          <w:sz w:val="18"/>
          <w:szCs w:val="18"/>
        </w:rPr>
        <w:t>, will replace all mention of SIMT.</w:t>
      </w:r>
    </w:p>
    <w:p w14:paraId="0B08FF72" w14:textId="77777777" w:rsidR="00D564CC" w:rsidRPr="005B65E3" w:rsidRDefault="007E7C9A" w:rsidP="00016D19">
      <w:pPr>
        <w:pStyle w:val="Clause"/>
        <w:numPr>
          <w:ilvl w:val="0"/>
          <w:numId w:val="0"/>
        </w:numPr>
        <w:rPr>
          <w:rFonts w:asciiTheme="minorHAnsi" w:hAnsiTheme="minorHAnsi" w:cstheme="minorHAnsi"/>
          <w:sz w:val="18"/>
          <w:szCs w:val="18"/>
        </w:rPr>
      </w:pPr>
      <w:r w:rsidRPr="005B65E3">
        <w:rPr>
          <w:rFonts w:asciiTheme="minorHAnsi" w:hAnsiTheme="minorHAnsi" w:cstheme="minorHAnsi"/>
          <w:sz w:val="18"/>
          <w:szCs w:val="18"/>
        </w:rPr>
        <w:t>Th</w:t>
      </w:r>
      <w:r w:rsidR="00C61964" w:rsidRPr="005B65E3">
        <w:rPr>
          <w:rFonts w:asciiTheme="minorHAnsi" w:hAnsiTheme="minorHAnsi" w:cstheme="minorHAnsi"/>
          <w:sz w:val="18"/>
          <w:szCs w:val="18"/>
        </w:rPr>
        <w:t>e phrase ‘</w:t>
      </w:r>
      <w:r w:rsidR="00C61964" w:rsidRPr="005B65E3">
        <w:rPr>
          <w:rFonts w:asciiTheme="minorHAnsi" w:hAnsiTheme="minorHAnsi" w:cstheme="minorHAnsi"/>
          <w:b/>
          <w:sz w:val="18"/>
          <w:szCs w:val="18"/>
        </w:rPr>
        <w:t>likely</w:t>
      </w:r>
      <w:r w:rsidR="000A34D5" w:rsidRPr="005B65E3">
        <w:rPr>
          <w:rFonts w:asciiTheme="minorHAnsi" w:hAnsiTheme="minorHAnsi" w:cstheme="minorHAnsi"/>
          <w:b/>
          <w:sz w:val="18"/>
          <w:szCs w:val="18"/>
        </w:rPr>
        <w:t>’</w:t>
      </w:r>
      <w:r w:rsidR="00C61964" w:rsidRPr="005B65E3">
        <w:rPr>
          <w:rFonts w:asciiTheme="minorHAnsi" w:hAnsiTheme="minorHAnsi" w:cstheme="minorHAnsi"/>
          <w:sz w:val="18"/>
          <w:szCs w:val="18"/>
        </w:rPr>
        <w:t xml:space="preserve"> means the risk of serious harm to an individual is more probable than not (rather than possible).</w:t>
      </w:r>
      <w:r w:rsidRPr="005B65E3">
        <w:rPr>
          <w:rFonts w:asciiTheme="minorHAnsi" w:hAnsiTheme="minorHAnsi" w:cstheme="minorHAnsi"/>
          <w:sz w:val="18"/>
          <w:szCs w:val="18"/>
        </w:rPr>
        <w:t xml:space="preserve"> </w:t>
      </w:r>
      <w:r w:rsidRPr="005B65E3">
        <w:rPr>
          <w:rFonts w:asciiTheme="minorHAnsi" w:hAnsiTheme="minorHAnsi" w:cstheme="minorHAnsi"/>
          <w:b/>
          <w:sz w:val="18"/>
          <w:szCs w:val="18"/>
        </w:rPr>
        <w:t>Probable</w:t>
      </w:r>
      <w:r w:rsidRPr="005B65E3">
        <w:rPr>
          <w:rFonts w:asciiTheme="minorHAnsi" w:hAnsiTheme="minorHAnsi" w:cstheme="minorHAnsi"/>
          <w:sz w:val="18"/>
          <w:szCs w:val="18"/>
        </w:rPr>
        <w:t xml:space="preserve"> means almost certain. </w:t>
      </w:r>
    </w:p>
    <w:p w14:paraId="733C5CE7" w14:textId="77777777" w:rsidR="00381E20" w:rsidRPr="005B65E3" w:rsidRDefault="00381E20" w:rsidP="00016D19">
      <w:pPr>
        <w:spacing w:after="0" w:line="240" w:lineRule="auto"/>
        <w:rPr>
          <w:rFonts w:eastAsia="Times New Roman" w:cstheme="minorHAnsi"/>
          <w:sz w:val="18"/>
          <w:szCs w:val="18"/>
          <w:lang w:eastAsia="en-AU"/>
        </w:rPr>
      </w:pPr>
      <w:r w:rsidRPr="005B65E3">
        <w:rPr>
          <w:rFonts w:eastAsia="Times New Roman" w:cstheme="minorHAnsi"/>
          <w:sz w:val="18"/>
          <w:szCs w:val="18"/>
          <w:lang w:eastAsia="en-AU"/>
        </w:rPr>
        <w:t>Assessment of harm is based upon:</w:t>
      </w:r>
    </w:p>
    <w:p w14:paraId="6DC4F55D" w14:textId="77777777" w:rsidR="00C61964" w:rsidRPr="005B65E3" w:rsidRDefault="00C61964" w:rsidP="00CC07F3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sz w:val="18"/>
          <w:szCs w:val="18"/>
          <w:lang w:eastAsia="en-AU"/>
        </w:rPr>
      </w:pPr>
      <w:r w:rsidRPr="005B65E3">
        <w:rPr>
          <w:rFonts w:eastAsia="Times New Roman" w:cstheme="minorHAnsi"/>
          <w:sz w:val="18"/>
          <w:szCs w:val="18"/>
          <w:lang w:eastAsia="en-AU"/>
        </w:rPr>
        <w:t>The nature, sensitivity and volume of personal information involved in the data breach</w:t>
      </w:r>
      <w:r w:rsidR="00381E20" w:rsidRPr="005B65E3">
        <w:rPr>
          <w:rFonts w:eastAsia="Times New Roman" w:cstheme="minorHAnsi"/>
          <w:sz w:val="18"/>
          <w:szCs w:val="18"/>
          <w:lang w:eastAsia="en-AU"/>
        </w:rPr>
        <w:t>;</w:t>
      </w:r>
    </w:p>
    <w:p w14:paraId="3805DCE8" w14:textId="77777777" w:rsidR="00C61964" w:rsidRPr="005B65E3" w:rsidRDefault="00C61964" w:rsidP="00005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n-AU"/>
        </w:rPr>
      </w:pPr>
      <w:r w:rsidRPr="005B65E3">
        <w:rPr>
          <w:rFonts w:eastAsia="Times New Roman" w:cstheme="minorHAnsi"/>
          <w:sz w:val="18"/>
          <w:szCs w:val="18"/>
          <w:lang w:eastAsia="en-AU"/>
        </w:rPr>
        <w:t>The circumstances of the data breach, including its cause and extent</w:t>
      </w:r>
      <w:r w:rsidR="00381E20" w:rsidRPr="005B65E3">
        <w:rPr>
          <w:rFonts w:eastAsia="Times New Roman" w:cstheme="minorHAnsi"/>
          <w:sz w:val="18"/>
          <w:szCs w:val="18"/>
          <w:lang w:eastAsia="en-AU"/>
        </w:rPr>
        <w:t>;</w:t>
      </w:r>
    </w:p>
    <w:p w14:paraId="53F88E51" w14:textId="77777777" w:rsidR="001016AB" w:rsidRPr="005B65E3" w:rsidRDefault="00C61964" w:rsidP="00005DF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5B65E3">
        <w:rPr>
          <w:rFonts w:eastAsia="Times New Roman" w:cstheme="minorHAnsi"/>
          <w:sz w:val="18"/>
          <w:szCs w:val="18"/>
          <w:lang w:eastAsia="en-AU"/>
        </w:rPr>
        <w:t>The nature of the potential harm to the affected individuals</w:t>
      </w:r>
    </w:p>
    <w:p w14:paraId="6C67B907" w14:textId="63C09BCE" w:rsidR="004C19C8" w:rsidRPr="00A050A3" w:rsidRDefault="00C14B3C" w:rsidP="00005DFB">
      <w:p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bookmarkStart w:id="0" w:name="_GoBack"/>
      <w:r w:rsidRPr="00A050A3">
        <w:rPr>
          <w:rFonts w:eastAsia="Times New Roman" w:cstheme="minorHAnsi"/>
          <w:sz w:val="18"/>
          <w:szCs w:val="18"/>
          <w:lang w:eastAsia="en-AU"/>
        </w:rPr>
        <w:t xml:space="preserve">Internal notification or reporting </w:t>
      </w:r>
      <w:proofErr w:type="gramStart"/>
      <w:r w:rsidR="00A050A3" w:rsidRPr="00A050A3">
        <w:rPr>
          <w:rFonts w:eastAsia="Times New Roman" w:cstheme="minorHAnsi"/>
          <w:sz w:val="18"/>
          <w:szCs w:val="18"/>
          <w:lang w:eastAsia="en-AU"/>
        </w:rPr>
        <w:t xml:space="preserve">is based </w:t>
      </w:r>
      <w:r w:rsidRPr="00A050A3">
        <w:rPr>
          <w:rFonts w:eastAsia="Times New Roman" w:cstheme="minorHAnsi"/>
          <w:sz w:val="18"/>
          <w:szCs w:val="18"/>
          <w:lang w:eastAsia="en-AU"/>
        </w:rPr>
        <w:t>on a combination of harm and the personal information risk rating and managed on an iterative basis for each data breach</w:t>
      </w:r>
      <w:proofErr w:type="gramEnd"/>
      <w:r w:rsidRPr="00A050A3">
        <w:rPr>
          <w:rFonts w:eastAsia="Times New Roman" w:cstheme="minorHAnsi"/>
          <w:lang w:eastAsia="en-AU"/>
        </w:rPr>
        <w:t xml:space="preserve">. </w:t>
      </w:r>
      <w:r w:rsidR="004C19C8" w:rsidRPr="00A050A3">
        <w:rPr>
          <w:rFonts w:eastAsia="Times New Roman" w:cstheme="minorHAnsi"/>
          <w:sz w:val="18"/>
          <w:szCs w:val="18"/>
          <w:lang w:eastAsia="en-AU"/>
        </w:rPr>
        <w:t xml:space="preserve">Notification to external bodies such as the NSW Information and Privacy Commissioner and Office of the Australian Information Commission </w:t>
      </w:r>
      <w:r w:rsidR="00B57CE7" w:rsidRPr="00A050A3">
        <w:rPr>
          <w:rFonts w:eastAsia="Times New Roman" w:cstheme="minorHAnsi"/>
          <w:sz w:val="18"/>
          <w:szCs w:val="18"/>
          <w:lang w:eastAsia="en-AU"/>
        </w:rPr>
        <w:t>will occur when the secondary harm assessment remains high or extreme and is likely to occur for medium harm assessments. Second</w:t>
      </w:r>
      <w:r w:rsidR="00A050A3" w:rsidRPr="00A050A3">
        <w:rPr>
          <w:rFonts w:eastAsia="Times New Roman" w:cstheme="minorHAnsi"/>
          <w:sz w:val="18"/>
          <w:szCs w:val="18"/>
          <w:lang w:eastAsia="en-AU"/>
        </w:rPr>
        <w:t>ary assessments should indicate</w:t>
      </w:r>
      <w:r w:rsidR="00B57CE7" w:rsidRPr="00A050A3">
        <w:rPr>
          <w:rFonts w:eastAsia="Times New Roman" w:cstheme="minorHAnsi"/>
          <w:sz w:val="18"/>
          <w:szCs w:val="18"/>
          <w:lang w:eastAsia="en-AU"/>
        </w:rPr>
        <w:t xml:space="preserve"> when harm </w:t>
      </w:r>
      <w:proofErr w:type="gramStart"/>
      <w:r w:rsidR="00B57CE7" w:rsidRPr="00A050A3">
        <w:rPr>
          <w:rFonts w:eastAsia="Times New Roman" w:cstheme="minorHAnsi"/>
          <w:sz w:val="18"/>
          <w:szCs w:val="18"/>
          <w:lang w:eastAsia="en-AU"/>
        </w:rPr>
        <w:t>is mitigated</w:t>
      </w:r>
      <w:proofErr w:type="gramEnd"/>
      <w:r w:rsidR="00B57CE7" w:rsidRPr="00A050A3">
        <w:rPr>
          <w:rFonts w:eastAsia="Times New Roman" w:cstheme="minorHAnsi"/>
          <w:sz w:val="18"/>
          <w:szCs w:val="18"/>
          <w:lang w:eastAsia="en-AU"/>
        </w:rPr>
        <w:t>.</w:t>
      </w:r>
      <w:r w:rsidR="00B57CE7" w:rsidRPr="00A050A3">
        <w:rPr>
          <w:rFonts w:eastAsia="Times New Roman" w:cstheme="minorHAnsi"/>
          <w:lang w:eastAsia="en-AU"/>
        </w:rPr>
        <w:t xml:space="preserve"> </w:t>
      </w:r>
      <w:bookmarkEnd w:id="0"/>
    </w:p>
    <w:sectPr w:rsidR="004C19C8" w:rsidRPr="00A050A3" w:rsidSect="005230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BC66F" w14:textId="77777777" w:rsidR="009C1AD5" w:rsidRDefault="009C1AD5" w:rsidP="00157F36">
      <w:pPr>
        <w:spacing w:after="0" w:line="240" w:lineRule="auto"/>
      </w:pPr>
      <w:r>
        <w:separator/>
      </w:r>
    </w:p>
  </w:endnote>
  <w:endnote w:type="continuationSeparator" w:id="0">
    <w:p w14:paraId="047D8E61" w14:textId="77777777" w:rsidR="009C1AD5" w:rsidRDefault="009C1AD5" w:rsidP="0015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2EE1F" w14:textId="77777777" w:rsidR="009C1AD5" w:rsidRDefault="009C1AD5" w:rsidP="00157F36">
      <w:pPr>
        <w:spacing w:after="0" w:line="240" w:lineRule="auto"/>
      </w:pPr>
      <w:r>
        <w:separator/>
      </w:r>
    </w:p>
  </w:footnote>
  <w:footnote w:type="continuationSeparator" w:id="0">
    <w:p w14:paraId="432D6A4C" w14:textId="77777777" w:rsidR="009C1AD5" w:rsidRDefault="009C1AD5" w:rsidP="00157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767E"/>
    <w:multiLevelType w:val="multilevel"/>
    <w:tmpl w:val="0126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3087C"/>
    <w:multiLevelType w:val="hybridMultilevel"/>
    <w:tmpl w:val="67AC8A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941BEB"/>
    <w:multiLevelType w:val="multilevel"/>
    <w:tmpl w:val="0C36E9D6"/>
    <w:lvl w:ilvl="0">
      <w:start w:val="1"/>
      <w:numFmt w:val="decimal"/>
      <w:pStyle w:val="Clause"/>
      <w:lvlText w:val="(%1)"/>
      <w:lvlJc w:val="left"/>
      <w:pPr>
        <w:tabs>
          <w:tab w:val="num" w:pos="681"/>
        </w:tabs>
        <w:ind w:left="142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2A2600E"/>
    <w:multiLevelType w:val="hybridMultilevel"/>
    <w:tmpl w:val="908CD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0F"/>
    <w:rsid w:val="000010A7"/>
    <w:rsid w:val="00005DFB"/>
    <w:rsid w:val="00016D19"/>
    <w:rsid w:val="000240D3"/>
    <w:rsid w:val="000454DD"/>
    <w:rsid w:val="000A34D5"/>
    <w:rsid w:val="000C051D"/>
    <w:rsid w:val="001002F0"/>
    <w:rsid w:val="001016AB"/>
    <w:rsid w:val="0013189F"/>
    <w:rsid w:val="00157F36"/>
    <w:rsid w:val="001C7308"/>
    <w:rsid w:val="001D21B5"/>
    <w:rsid w:val="002A7590"/>
    <w:rsid w:val="002C4548"/>
    <w:rsid w:val="0030406C"/>
    <w:rsid w:val="003041BB"/>
    <w:rsid w:val="0035014F"/>
    <w:rsid w:val="00381E20"/>
    <w:rsid w:val="003C3200"/>
    <w:rsid w:val="003C640D"/>
    <w:rsid w:val="00402604"/>
    <w:rsid w:val="00432FF5"/>
    <w:rsid w:val="00472E31"/>
    <w:rsid w:val="00473174"/>
    <w:rsid w:val="004A2D91"/>
    <w:rsid w:val="004A74E7"/>
    <w:rsid w:val="004C19C8"/>
    <w:rsid w:val="004F45A2"/>
    <w:rsid w:val="005168B1"/>
    <w:rsid w:val="005170BD"/>
    <w:rsid w:val="0052309B"/>
    <w:rsid w:val="00534C8F"/>
    <w:rsid w:val="00564759"/>
    <w:rsid w:val="0058115D"/>
    <w:rsid w:val="005B65E3"/>
    <w:rsid w:val="005D3171"/>
    <w:rsid w:val="005D3C74"/>
    <w:rsid w:val="005E07C3"/>
    <w:rsid w:val="006029D7"/>
    <w:rsid w:val="00623F19"/>
    <w:rsid w:val="00633676"/>
    <w:rsid w:val="00674BE7"/>
    <w:rsid w:val="006B356F"/>
    <w:rsid w:val="006B43EF"/>
    <w:rsid w:val="006F2229"/>
    <w:rsid w:val="006F45A8"/>
    <w:rsid w:val="00714093"/>
    <w:rsid w:val="00733945"/>
    <w:rsid w:val="007449C8"/>
    <w:rsid w:val="00796F5F"/>
    <w:rsid w:val="007A5658"/>
    <w:rsid w:val="007D1BF6"/>
    <w:rsid w:val="007E28D1"/>
    <w:rsid w:val="007E7C9A"/>
    <w:rsid w:val="008159C6"/>
    <w:rsid w:val="0084220F"/>
    <w:rsid w:val="00854D53"/>
    <w:rsid w:val="0086279F"/>
    <w:rsid w:val="00885E98"/>
    <w:rsid w:val="008A0324"/>
    <w:rsid w:val="008B29C6"/>
    <w:rsid w:val="008C1446"/>
    <w:rsid w:val="008D0101"/>
    <w:rsid w:val="008D5215"/>
    <w:rsid w:val="00906FE5"/>
    <w:rsid w:val="009578E0"/>
    <w:rsid w:val="00963A59"/>
    <w:rsid w:val="009B0889"/>
    <w:rsid w:val="009C1AD5"/>
    <w:rsid w:val="009C58B4"/>
    <w:rsid w:val="00A050A3"/>
    <w:rsid w:val="00A210F4"/>
    <w:rsid w:val="00A26AE6"/>
    <w:rsid w:val="00A850C5"/>
    <w:rsid w:val="00AB6BBC"/>
    <w:rsid w:val="00AC2512"/>
    <w:rsid w:val="00AC7559"/>
    <w:rsid w:val="00AF6525"/>
    <w:rsid w:val="00B57CE7"/>
    <w:rsid w:val="00BE6153"/>
    <w:rsid w:val="00C14B3C"/>
    <w:rsid w:val="00C17B59"/>
    <w:rsid w:val="00C276CF"/>
    <w:rsid w:val="00C554F3"/>
    <w:rsid w:val="00C61964"/>
    <w:rsid w:val="00C6603A"/>
    <w:rsid w:val="00C761AD"/>
    <w:rsid w:val="00C9415A"/>
    <w:rsid w:val="00C951BD"/>
    <w:rsid w:val="00CC07F3"/>
    <w:rsid w:val="00CD1D9D"/>
    <w:rsid w:val="00D0246D"/>
    <w:rsid w:val="00D250EB"/>
    <w:rsid w:val="00D564CC"/>
    <w:rsid w:val="00D75316"/>
    <w:rsid w:val="00DA74AF"/>
    <w:rsid w:val="00DD5625"/>
    <w:rsid w:val="00E37D4C"/>
    <w:rsid w:val="00E73A82"/>
    <w:rsid w:val="00E76C4A"/>
    <w:rsid w:val="00E8753C"/>
    <w:rsid w:val="00E95427"/>
    <w:rsid w:val="00EA7690"/>
    <w:rsid w:val="00EC1B1B"/>
    <w:rsid w:val="00EC6764"/>
    <w:rsid w:val="00EF34A8"/>
    <w:rsid w:val="00F1569D"/>
    <w:rsid w:val="00F57726"/>
    <w:rsid w:val="00F76FE9"/>
    <w:rsid w:val="00F9075F"/>
    <w:rsid w:val="00FB0A3A"/>
    <w:rsid w:val="00FC6775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04A99"/>
  <w15:chartTrackingRefBased/>
  <w15:docId w15:val="{91109C63-0A16-46D9-B0CA-B96D0E60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20F"/>
  </w:style>
  <w:style w:type="paragraph" w:styleId="Heading1">
    <w:name w:val="heading 1"/>
    <w:basedOn w:val="Normal"/>
    <w:next w:val="Normal"/>
    <w:link w:val="Heading1Char"/>
    <w:uiPriority w:val="9"/>
    <w:qFormat/>
    <w:rsid w:val="00842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22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57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F36"/>
  </w:style>
  <w:style w:type="paragraph" w:styleId="Footer">
    <w:name w:val="footer"/>
    <w:basedOn w:val="Normal"/>
    <w:link w:val="FooterChar"/>
    <w:uiPriority w:val="99"/>
    <w:unhideWhenUsed/>
    <w:rsid w:val="00157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F36"/>
  </w:style>
  <w:style w:type="paragraph" w:customStyle="1" w:styleId="Clause">
    <w:name w:val="_Clause"/>
    <w:basedOn w:val="Normal"/>
    <w:rsid w:val="00C61964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1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96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58B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3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BDAE98E23249A2FA786884A9D84D" ma:contentTypeVersion="13" ma:contentTypeDescription="Create a new document." ma:contentTypeScope="" ma:versionID="91aa5f874fae396504e13b7878eeb4e3">
  <xsd:schema xmlns:xsd="http://www.w3.org/2001/XMLSchema" xmlns:xs="http://www.w3.org/2001/XMLSchema" xmlns:p="http://schemas.microsoft.com/office/2006/metadata/properties" xmlns:ns3="8007523a-f30c-41cf-a59a-3e876d2b8f24" xmlns:ns4="5b271ce3-8e8e-4dcd-b9c1-4e3d95bc7c65" targetNamespace="http://schemas.microsoft.com/office/2006/metadata/properties" ma:root="true" ma:fieldsID="b6b29b85ee4dfbb974ed0f583721f8f3" ns3:_="" ns4:_="">
    <xsd:import namespace="8007523a-f30c-41cf-a59a-3e876d2b8f24"/>
    <xsd:import namespace="5b271ce3-8e8e-4dcd-b9c1-4e3d95bc7c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523a-f30c-41cf-a59a-3e876d2b8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71ce3-8e8e-4dcd-b9c1-4e3d95bc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A65F-66FC-478B-BD67-5B116934B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7523a-f30c-41cf-a59a-3e876d2b8f24"/>
    <ds:schemaRef ds:uri="5b271ce3-8e8e-4dcd-b9c1-4e3d95bc7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1336B-CA2D-4FE9-9B2D-DAE9B421B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F4C671-645F-421A-9F45-0E33F83D2B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4069B-95FA-473D-9E7F-ECB776C5D22F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4925F962-9929-4301-B322-D9AEECB9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Rowe</dc:creator>
  <cp:keywords/>
  <dc:description/>
  <cp:lastModifiedBy>Caitlin Rowe</cp:lastModifiedBy>
  <cp:revision>2</cp:revision>
  <dcterms:created xsi:type="dcterms:W3CDTF">2021-08-06T06:35:00Z</dcterms:created>
  <dcterms:modified xsi:type="dcterms:W3CDTF">2021-08-06T06:35:00Z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0x0101003B84BDAE98E23249A2FA786884A9D84D</vt:lpwstr>
  </property>
</Properties>
</file>